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C9" w:rsidRDefault="003D2DC9" w:rsidP="00E77CB3">
      <w:pPr>
        <w:jc w:val="center"/>
        <w:rPr>
          <w:lang w:val="fr-FR"/>
        </w:rPr>
      </w:pPr>
    </w:p>
    <w:p w:rsidR="003D2DC9" w:rsidRDefault="003D2DC9" w:rsidP="00E77CB3">
      <w:pPr>
        <w:jc w:val="center"/>
        <w:rPr>
          <w:lang w:val="fr-FR"/>
        </w:rPr>
      </w:pPr>
    </w:p>
    <w:p w:rsidR="003D2DC9" w:rsidRDefault="003D2DC9" w:rsidP="00E77CB3">
      <w:pPr>
        <w:jc w:val="center"/>
        <w:rPr>
          <w:lang w:val="fr-FR"/>
        </w:rPr>
      </w:pPr>
    </w:p>
    <w:p w:rsidR="00E77CB3" w:rsidRPr="00AD412E" w:rsidRDefault="00A37952" w:rsidP="00E77CB3">
      <w:pPr>
        <w:jc w:val="center"/>
        <w:rPr>
          <w:lang w:val="fr-FR"/>
        </w:rPr>
      </w:pPr>
      <w:r>
        <w:rPr>
          <w:lang w:val="fr-FR"/>
        </w:rPr>
        <w:t>CINQUIÈME SECTION</w:t>
      </w:r>
    </w:p>
    <w:p w:rsidR="00E77CB3" w:rsidRDefault="00E77CB3" w:rsidP="00E77CB3">
      <w:pPr>
        <w:jc w:val="center"/>
        <w:rPr>
          <w:lang w:val="fr-FR"/>
        </w:rPr>
      </w:pPr>
    </w:p>
    <w:p w:rsidR="00B134CD" w:rsidRDefault="00B134CD" w:rsidP="00E77CB3">
      <w:pPr>
        <w:jc w:val="center"/>
        <w:rPr>
          <w:lang w:val="fr-FR"/>
        </w:rPr>
      </w:pPr>
    </w:p>
    <w:p w:rsidR="00B134CD" w:rsidRDefault="00B134CD" w:rsidP="00E77CB3">
      <w:pPr>
        <w:jc w:val="center"/>
        <w:rPr>
          <w:lang w:val="fr-FR"/>
        </w:rPr>
      </w:pPr>
    </w:p>
    <w:p w:rsidR="00B134CD" w:rsidRDefault="00B134CD" w:rsidP="00E77CB3">
      <w:pPr>
        <w:jc w:val="center"/>
        <w:rPr>
          <w:lang w:val="fr-FR"/>
        </w:rPr>
      </w:pPr>
    </w:p>
    <w:p w:rsidR="00B134CD" w:rsidRDefault="00B134CD" w:rsidP="00E77CB3">
      <w:pPr>
        <w:jc w:val="center"/>
        <w:rPr>
          <w:lang w:val="fr-FR"/>
        </w:rPr>
      </w:pPr>
    </w:p>
    <w:p w:rsidR="00B134CD" w:rsidRPr="00AD412E" w:rsidRDefault="00B134CD" w:rsidP="00E77CB3">
      <w:pPr>
        <w:jc w:val="center"/>
        <w:rPr>
          <w:lang w:val="fr-FR"/>
        </w:rPr>
      </w:pPr>
    </w:p>
    <w:p w:rsidR="00E77CB3" w:rsidRPr="00AD412E" w:rsidRDefault="00E77CB3" w:rsidP="00E77CB3">
      <w:pPr>
        <w:jc w:val="center"/>
        <w:rPr>
          <w:b/>
          <w:lang w:val="fr-FR"/>
        </w:rPr>
      </w:pPr>
      <w:bookmarkStart w:id="0" w:name="To"/>
      <w:r w:rsidRPr="00AD412E">
        <w:rPr>
          <w:b/>
          <w:lang w:val="fr-FR"/>
        </w:rPr>
        <w:t xml:space="preserve">AFFAIRE </w:t>
      </w:r>
      <w:bookmarkEnd w:id="0"/>
      <w:r w:rsidR="00A37952">
        <w:rPr>
          <w:b/>
          <w:lang w:val="fr-FR"/>
        </w:rPr>
        <w:t>HELHAL c. FRANCE</w:t>
      </w:r>
    </w:p>
    <w:p w:rsidR="00E77CB3" w:rsidRPr="00AD412E" w:rsidRDefault="00E77CB3" w:rsidP="00E77CB3">
      <w:pPr>
        <w:jc w:val="center"/>
        <w:rPr>
          <w:lang w:val="fr-FR"/>
        </w:rPr>
      </w:pPr>
    </w:p>
    <w:p w:rsidR="00B134CD" w:rsidRDefault="00E77CB3" w:rsidP="00B134CD">
      <w:pPr>
        <w:jc w:val="center"/>
        <w:rPr>
          <w:lang w:val="fr-FR"/>
        </w:rPr>
      </w:pPr>
      <w:r w:rsidRPr="00AD412E">
        <w:rPr>
          <w:i/>
          <w:lang w:val="fr-FR"/>
        </w:rPr>
        <w:t>(</w:t>
      </w:r>
      <w:r w:rsidR="00A37952" w:rsidRPr="00AD412E">
        <w:rPr>
          <w:i/>
          <w:lang w:val="fr-FR"/>
        </w:rPr>
        <w:t>Requête n</w:t>
      </w:r>
      <w:r w:rsidR="00A37952" w:rsidRPr="00AD412E">
        <w:rPr>
          <w:i/>
          <w:vertAlign w:val="superscript"/>
          <w:lang w:val="fr-FR"/>
        </w:rPr>
        <w:t>o</w:t>
      </w:r>
      <w:r w:rsidR="00A37952" w:rsidRPr="00AD412E">
        <w:rPr>
          <w:i/>
          <w:lang w:val="fr-FR"/>
        </w:rPr>
        <w:t xml:space="preserve"> </w:t>
      </w:r>
      <w:r w:rsidR="00A37952">
        <w:rPr>
          <w:i/>
          <w:lang w:val="fr-FR"/>
        </w:rPr>
        <w:t>10401/12</w:t>
      </w:r>
      <w:r w:rsidRPr="00AD412E">
        <w:rPr>
          <w:i/>
          <w:lang w:val="fr-FR"/>
        </w:rPr>
        <w:t>)</w:t>
      </w: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B134CD">
      <w:pPr>
        <w:jc w:val="center"/>
        <w:rPr>
          <w:lang w:val="fr-FR"/>
        </w:rPr>
      </w:pPr>
    </w:p>
    <w:p w:rsidR="00B134CD" w:rsidRDefault="00B134CD" w:rsidP="003D2DC9">
      <w:pPr>
        <w:jc w:val="center"/>
        <w:rPr>
          <w:lang w:val="fr-FR"/>
        </w:rPr>
      </w:pPr>
      <w:r>
        <w:rPr>
          <w:lang w:val="fr-FR"/>
        </w:rPr>
        <w:t>ARRÊT</w:t>
      </w:r>
    </w:p>
    <w:p w:rsidR="003D2DC9" w:rsidRDefault="003D2DC9" w:rsidP="003D2DC9">
      <w:pPr>
        <w:jc w:val="center"/>
        <w:rPr>
          <w:lang w:val="fr-FR"/>
        </w:rPr>
      </w:pPr>
    </w:p>
    <w:p w:rsidR="003D2DC9" w:rsidRDefault="003D2DC9" w:rsidP="003D2DC9">
      <w:pPr>
        <w:jc w:val="center"/>
        <w:rPr>
          <w:lang w:val="fr-FR"/>
        </w:rPr>
      </w:pPr>
    </w:p>
    <w:p w:rsidR="00B134CD" w:rsidRPr="00EA4DEF" w:rsidRDefault="00B134CD" w:rsidP="00EA4DEF">
      <w:pPr>
        <w:jc w:val="center"/>
        <w:rPr>
          <w:lang w:val="fr-FR"/>
        </w:rPr>
      </w:pPr>
      <w:r w:rsidRPr="00EA4DEF">
        <w:rPr>
          <w:lang w:val="fr-FR"/>
        </w:rPr>
        <w:t>STRASBOURG</w:t>
      </w:r>
    </w:p>
    <w:p w:rsidR="003D2DC9" w:rsidRPr="00EA4DEF" w:rsidRDefault="003D2DC9" w:rsidP="00EA4DEF">
      <w:pPr>
        <w:jc w:val="center"/>
        <w:rPr>
          <w:lang w:val="fr-FR"/>
        </w:rPr>
      </w:pPr>
    </w:p>
    <w:p w:rsidR="00B134CD" w:rsidRPr="00EA4DEF" w:rsidRDefault="00B134CD" w:rsidP="00EA4DEF">
      <w:pPr>
        <w:jc w:val="center"/>
        <w:rPr>
          <w:lang w:val="fr-FR"/>
        </w:rPr>
      </w:pPr>
      <w:r w:rsidRPr="00EA4DEF">
        <w:rPr>
          <w:lang w:val="fr-FR"/>
        </w:rPr>
        <w:t>19 février 2015</w:t>
      </w:r>
    </w:p>
    <w:p w:rsidR="00B134CD" w:rsidRPr="00EA4DEF" w:rsidRDefault="00B134CD" w:rsidP="00EA4DEF">
      <w:pPr>
        <w:jc w:val="center"/>
        <w:rPr>
          <w:lang w:val="fr-FR"/>
        </w:rPr>
      </w:pPr>
    </w:p>
    <w:p w:rsidR="00B134CD" w:rsidRPr="00EA4DEF" w:rsidRDefault="00B134CD" w:rsidP="00EA4DEF">
      <w:pPr>
        <w:jc w:val="center"/>
        <w:rPr>
          <w:lang w:val="fr-FR"/>
        </w:rPr>
      </w:pPr>
    </w:p>
    <w:p w:rsidR="005A6B8A" w:rsidRDefault="005A6B8A" w:rsidP="005A6B8A">
      <w:pPr>
        <w:pStyle w:val="jucase0"/>
        <w:ind w:firstLine="0"/>
        <w:jc w:val="center"/>
        <w:rPr>
          <w:color w:val="FF0000"/>
          <w:sz w:val="28"/>
          <w:szCs w:val="28"/>
          <w:u w:val="single"/>
          <w:lang w:val="fr-FR"/>
        </w:rPr>
      </w:pPr>
      <w:r>
        <w:rPr>
          <w:color w:val="FF0000"/>
          <w:sz w:val="28"/>
          <w:szCs w:val="28"/>
          <w:u w:val="single"/>
          <w:lang w:val="fr-FR"/>
        </w:rPr>
        <w:t>DÉFINITIF</w:t>
      </w:r>
    </w:p>
    <w:p w:rsidR="005A6B8A" w:rsidRDefault="005A6B8A" w:rsidP="005A6B8A">
      <w:pPr>
        <w:pStyle w:val="jupara"/>
        <w:tabs>
          <w:tab w:val="left" w:pos="3450"/>
        </w:tabs>
        <w:ind w:firstLine="0"/>
        <w:jc w:val="center"/>
        <w:rPr>
          <w:color w:val="FF0000"/>
          <w:sz w:val="28"/>
          <w:szCs w:val="28"/>
          <w:lang w:val="fr-FR"/>
        </w:rPr>
      </w:pPr>
    </w:p>
    <w:p w:rsidR="005A6B8A" w:rsidRDefault="005A6B8A" w:rsidP="005A6B8A">
      <w:pPr>
        <w:pStyle w:val="jupara"/>
        <w:ind w:firstLine="0"/>
        <w:jc w:val="center"/>
        <w:rPr>
          <w:color w:val="FF0000"/>
          <w:sz w:val="28"/>
          <w:szCs w:val="28"/>
          <w:lang w:val="fr-FR"/>
        </w:rPr>
      </w:pPr>
      <w:r>
        <w:rPr>
          <w:color w:val="FF0000"/>
          <w:sz w:val="28"/>
          <w:szCs w:val="28"/>
          <w:lang w:val="fr-FR"/>
        </w:rPr>
        <w:t>19/05/2015</w:t>
      </w:r>
    </w:p>
    <w:p w:rsidR="005A6B8A" w:rsidRDefault="005A6B8A" w:rsidP="005A6B8A">
      <w:pPr>
        <w:jc w:val="center"/>
        <w:rPr>
          <w:u w:val="single"/>
          <w:lang w:val="fr-FR"/>
        </w:rPr>
      </w:pPr>
    </w:p>
    <w:p w:rsidR="005A6B8A" w:rsidRDefault="005A6B8A" w:rsidP="005A6B8A">
      <w:pPr>
        <w:jc w:val="center"/>
        <w:rPr>
          <w:i/>
          <w:iCs/>
          <w:sz w:val="22"/>
          <w:lang w:val="fr-FR"/>
        </w:rPr>
      </w:pPr>
      <w:r>
        <w:rPr>
          <w:i/>
          <w:iCs/>
          <w:sz w:val="22"/>
          <w:lang w:val="fr-FR"/>
        </w:rPr>
        <w:t>Cet arrêt est devenu définitif en vertu de l’article 44 § 2 de la Convention. Il peut subir des retouches de forme.</w:t>
      </w:r>
    </w:p>
    <w:p w:rsidR="00EA4DEF" w:rsidRDefault="00EA4DEF" w:rsidP="00B134CD">
      <w:pPr>
        <w:pStyle w:val="ECHRPara"/>
        <w:ind w:firstLine="0"/>
        <w:jc w:val="left"/>
        <w:rPr>
          <w:rFonts w:ascii="Times New Roman" w:eastAsia="Times New Roman" w:hAnsi="Times New Roman" w:cs="Times New Roman"/>
          <w:szCs w:val="20"/>
          <w:lang w:val="fr-FR" w:eastAsia="fr-FR"/>
        </w:rPr>
      </w:pPr>
    </w:p>
    <w:p w:rsidR="00B134CD" w:rsidRDefault="00B134CD" w:rsidP="00B134CD">
      <w:pPr>
        <w:pStyle w:val="JuCase"/>
        <w:jc w:val="left"/>
        <w:rPr>
          <w:lang w:val="fr-FR"/>
        </w:rPr>
        <w:sectPr w:rsidR="00B134CD" w:rsidSect="00B134CD">
          <w:headerReference w:type="default" r:id="rId9"/>
          <w:headerReference w:type="first" r:id="rId10"/>
          <w:footerReference w:type="first" r:id="rId11"/>
          <w:pgSz w:w="11906" w:h="16838" w:code="9"/>
          <w:pgMar w:top="2274" w:right="2274" w:bottom="2274" w:left="2274" w:header="1701" w:footer="720" w:gutter="0"/>
          <w:pgNumType w:start="1"/>
          <w:cols w:space="720"/>
          <w:titlePg/>
          <w:docGrid w:linePitch="326"/>
        </w:sectPr>
      </w:pPr>
    </w:p>
    <w:p w:rsidR="00E77CB3" w:rsidRPr="00AD412E" w:rsidRDefault="00E77CB3" w:rsidP="00E77CB3">
      <w:pPr>
        <w:pStyle w:val="JuCase"/>
        <w:rPr>
          <w:lang w:val="fr-FR"/>
        </w:rPr>
      </w:pPr>
      <w:r w:rsidRPr="00AD412E">
        <w:rPr>
          <w:lang w:val="fr-FR"/>
        </w:rPr>
        <w:t>En l</w:t>
      </w:r>
      <w:r w:rsidR="005A6B8A">
        <w:rPr>
          <w:lang w:val="fr-FR"/>
        </w:rPr>
        <w:t>’</w:t>
      </w:r>
      <w:r w:rsidRPr="00AD412E">
        <w:rPr>
          <w:lang w:val="fr-FR"/>
        </w:rPr>
        <w:t xml:space="preserve">affaire </w:t>
      </w:r>
      <w:r w:rsidR="00A37952">
        <w:rPr>
          <w:lang w:val="fr-FR"/>
        </w:rPr>
        <w:t>Helhal c. France</w:t>
      </w:r>
      <w:r w:rsidRPr="00AD412E">
        <w:rPr>
          <w:lang w:val="fr-FR"/>
        </w:rPr>
        <w:t>,</w:t>
      </w:r>
    </w:p>
    <w:p w:rsidR="00E77CB3" w:rsidRPr="00AD412E" w:rsidRDefault="00E77CB3" w:rsidP="00C63990">
      <w:pPr>
        <w:pStyle w:val="ECHRPara"/>
        <w:rPr>
          <w:lang w:val="fr-FR"/>
        </w:rPr>
      </w:pPr>
      <w:r w:rsidRPr="00AD412E">
        <w:rPr>
          <w:lang w:val="fr-FR"/>
        </w:rPr>
        <w:t>La Cour européenne des droits de l</w:t>
      </w:r>
      <w:r w:rsidR="005A6B8A">
        <w:rPr>
          <w:lang w:val="fr-FR"/>
        </w:rPr>
        <w:t>’</w:t>
      </w:r>
      <w:r w:rsidRPr="00AD412E">
        <w:rPr>
          <w:lang w:val="fr-FR"/>
        </w:rPr>
        <w:t>homme (</w:t>
      </w:r>
      <w:r w:rsidR="00A37952">
        <w:rPr>
          <w:lang w:val="fr-FR"/>
        </w:rPr>
        <w:t>cinquième section</w:t>
      </w:r>
      <w:r w:rsidRPr="00AD412E">
        <w:rPr>
          <w:lang w:val="fr-FR"/>
        </w:rPr>
        <w:t xml:space="preserve">), siégeant en </w:t>
      </w:r>
      <w:r w:rsidR="00A37952" w:rsidRPr="00AD412E">
        <w:rPr>
          <w:lang w:val="fr-FR"/>
        </w:rPr>
        <w:t xml:space="preserve">une </w:t>
      </w:r>
      <w:r w:rsidR="00A37952">
        <w:rPr>
          <w:lang w:val="fr-FR"/>
        </w:rPr>
        <w:t>chambre</w:t>
      </w:r>
      <w:r w:rsidR="00A37952" w:rsidRPr="00AD412E">
        <w:rPr>
          <w:lang w:val="fr-FR"/>
        </w:rPr>
        <w:t xml:space="preserve"> composée</w:t>
      </w:r>
      <w:r w:rsidRPr="00AD412E">
        <w:rPr>
          <w:lang w:val="fr-FR"/>
        </w:rPr>
        <w:t xml:space="preserve"> de :</w:t>
      </w:r>
    </w:p>
    <w:p w:rsidR="00A2315E" w:rsidRPr="00A2315E" w:rsidRDefault="00B134CD" w:rsidP="00A2315E">
      <w:pPr>
        <w:pStyle w:val="ECHRDecisionBody"/>
        <w:ind w:left="284"/>
        <w:rPr>
          <w:lang w:val="fr-FR"/>
        </w:rPr>
      </w:pPr>
      <w:r w:rsidRPr="00B134CD">
        <w:rPr>
          <w:lang w:val="fr-FR"/>
        </w:rPr>
        <w:tab/>
        <w:t>Mark</w:t>
      </w:r>
      <w:r>
        <w:rPr>
          <w:lang w:val="fr-FR"/>
        </w:rPr>
        <w:t xml:space="preserve"> </w:t>
      </w:r>
      <w:r w:rsidRPr="00B134CD">
        <w:rPr>
          <w:lang w:val="fr-FR"/>
        </w:rPr>
        <w:t>Villiger</w:t>
      </w:r>
      <w:r>
        <w:rPr>
          <w:lang w:val="fr-FR"/>
        </w:rPr>
        <w:t>,</w:t>
      </w:r>
      <w:r w:rsidRPr="00B134CD">
        <w:rPr>
          <w:i/>
          <w:lang w:val="fr-FR"/>
        </w:rPr>
        <w:t xml:space="preserve"> président,</w:t>
      </w:r>
      <w:r>
        <w:rPr>
          <w:i/>
          <w:lang w:val="fr-FR"/>
        </w:rPr>
        <w:br/>
      </w:r>
      <w:r w:rsidRPr="00B134CD">
        <w:rPr>
          <w:lang w:val="fr-FR"/>
        </w:rPr>
        <w:tab/>
        <w:t>Angelika</w:t>
      </w:r>
      <w:r>
        <w:rPr>
          <w:lang w:val="fr-FR"/>
        </w:rPr>
        <w:t xml:space="preserve"> </w:t>
      </w:r>
      <w:r w:rsidRPr="00B134CD">
        <w:rPr>
          <w:lang w:val="fr-FR"/>
        </w:rPr>
        <w:t>Nußberger</w:t>
      </w:r>
      <w:r>
        <w:rPr>
          <w:lang w:val="fr-FR"/>
        </w:rPr>
        <w:t>,</w:t>
      </w:r>
      <w:r>
        <w:rPr>
          <w:i/>
          <w:lang w:val="fr-FR"/>
        </w:rPr>
        <w:br/>
      </w:r>
      <w:r w:rsidRPr="00B134CD">
        <w:rPr>
          <w:lang w:val="fr-FR"/>
        </w:rPr>
        <w:tab/>
        <w:t>Ganna</w:t>
      </w:r>
      <w:r>
        <w:rPr>
          <w:lang w:val="fr-FR"/>
        </w:rPr>
        <w:t xml:space="preserve"> </w:t>
      </w:r>
      <w:r w:rsidRPr="00B134CD">
        <w:rPr>
          <w:lang w:val="fr-FR"/>
        </w:rPr>
        <w:t>Yudkivska</w:t>
      </w:r>
      <w:r>
        <w:rPr>
          <w:lang w:val="fr-FR"/>
        </w:rPr>
        <w:t>,</w:t>
      </w:r>
      <w:r>
        <w:rPr>
          <w:i/>
          <w:lang w:val="fr-FR"/>
        </w:rPr>
        <w:br/>
      </w:r>
      <w:r w:rsidRPr="00B134CD">
        <w:rPr>
          <w:lang w:val="fr-FR"/>
        </w:rPr>
        <w:tab/>
        <w:t>Vincent A.</w:t>
      </w:r>
      <w:r>
        <w:rPr>
          <w:lang w:val="fr-FR"/>
        </w:rPr>
        <w:t xml:space="preserve"> D</w:t>
      </w:r>
      <w:r w:rsidRPr="00B134CD">
        <w:rPr>
          <w:lang w:val="fr-FR"/>
        </w:rPr>
        <w:t>e Gaetano</w:t>
      </w:r>
      <w:r>
        <w:rPr>
          <w:lang w:val="fr-FR"/>
        </w:rPr>
        <w:t>,</w:t>
      </w:r>
      <w:r>
        <w:rPr>
          <w:i/>
          <w:lang w:val="fr-FR"/>
        </w:rPr>
        <w:br/>
      </w:r>
      <w:r w:rsidRPr="00B134CD">
        <w:rPr>
          <w:lang w:val="fr-FR"/>
        </w:rPr>
        <w:tab/>
        <w:t>André</w:t>
      </w:r>
      <w:r>
        <w:rPr>
          <w:lang w:val="fr-FR"/>
        </w:rPr>
        <w:t xml:space="preserve"> </w:t>
      </w:r>
      <w:r w:rsidRPr="00B134CD">
        <w:rPr>
          <w:lang w:val="fr-FR"/>
        </w:rPr>
        <w:t>Potocki</w:t>
      </w:r>
      <w:r>
        <w:rPr>
          <w:lang w:val="fr-FR"/>
        </w:rPr>
        <w:t>,</w:t>
      </w:r>
      <w:r>
        <w:rPr>
          <w:i/>
          <w:lang w:val="fr-FR"/>
        </w:rPr>
        <w:br/>
      </w:r>
      <w:r w:rsidRPr="00B134CD">
        <w:rPr>
          <w:lang w:val="fr-FR"/>
        </w:rPr>
        <w:tab/>
        <w:t>Helena</w:t>
      </w:r>
      <w:r>
        <w:rPr>
          <w:lang w:val="fr-FR"/>
        </w:rPr>
        <w:t xml:space="preserve"> </w:t>
      </w:r>
      <w:r w:rsidRPr="00B134CD">
        <w:rPr>
          <w:lang w:val="fr-FR"/>
        </w:rPr>
        <w:t>Jäderblom</w:t>
      </w:r>
      <w:r>
        <w:rPr>
          <w:lang w:val="fr-FR"/>
        </w:rPr>
        <w:t>,</w:t>
      </w:r>
      <w:r w:rsidRPr="00B134CD">
        <w:rPr>
          <w:i/>
          <w:lang w:val="fr-FR"/>
        </w:rPr>
        <w:t xml:space="preserve"> </w:t>
      </w:r>
      <w:r w:rsidR="00A2315E">
        <w:rPr>
          <w:i/>
          <w:lang w:val="fr-FR"/>
        </w:rPr>
        <w:br/>
      </w:r>
      <w:r w:rsidR="00A2315E">
        <w:rPr>
          <w:lang w:val="fr-FR"/>
        </w:rPr>
        <w:tab/>
      </w:r>
      <w:r w:rsidR="00A2315E" w:rsidRPr="00A2315E">
        <w:rPr>
          <w:lang w:val="fr-FR"/>
        </w:rPr>
        <w:t>Aleš Pejchal,</w:t>
      </w:r>
      <w:r w:rsidR="00A2315E" w:rsidRPr="00A2315E">
        <w:rPr>
          <w:i/>
          <w:lang w:val="fr-FR"/>
        </w:rPr>
        <w:t xml:space="preserve"> juges</w:t>
      </w:r>
      <w:r w:rsidR="00A2315E">
        <w:rPr>
          <w:i/>
          <w:lang w:val="fr-FR"/>
        </w:rPr>
        <w:t>,</w:t>
      </w:r>
    </w:p>
    <w:p w:rsidR="00E77CB3" w:rsidRPr="00AD412E" w:rsidRDefault="00E77CB3" w:rsidP="00A2315E">
      <w:pPr>
        <w:pStyle w:val="ECHRDecisionBody"/>
        <w:ind w:left="284"/>
        <w:rPr>
          <w:lang w:val="fr-FR"/>
        </w:rPr>
      </w:pPr>
      <w:r w:rsidRPr="00AD412E">
        <w:rPr>
          <w:lang w:val="fr-FR"/>
        </w:rPr>
        <w:t xml:space="preserve">et de </w:t>
      </w:r>
      <w:r w:rsidR="00A37952">
        <w:rPr>
          <w:lang w:val="fr-FR"/>
        </w:rPr>
        <w:t>Claudia</w:t>
      </w:r>
      <w:r w:rsidR="00A37952" w:rsidRPr="00AD412E">
        <w:rPr>
          <w:lang w:val="fr-FR"/>
        </w:rPr>
        <w:t xml:space="preserve"> </w:t>
      </w:r>
      <w:r w:rsidR="00A37952">
        <w:rPr>
          <w:lang w:val="fr-FR"/>
        </w:rPr>
        <w:t>Westerdiek</w:t>
      </w:r>
      <w:r w:rsidRPr="00AD412E">
        <w:rPr>
          <w:lang w:val="fr-FR"/>
        </w:rPr>
        <w:t xml:space="preserve">, </w:t>
      </w:r>
      <w:r w:rsidR="00A37952" w:rsidRPr="00AD412E">
        <w:rPr>
          <w:i/>
          <w:lang w:val="fr-FR"/>
        </w:rPr>
        <w:t>greffière</w:t>
      </w:r>
      <w:r w:rsidR="00A37952" w:rsidRPr="00AD412E">
        <w:rPr>
          <w:iCs/>
          <w:lang w:val="fr-FR"/>
        </w:rPr>
        <w:t xml:space="preserve"> </w:t>
      </w:r>
      <w:r w:rsidR="00A37952" w:rsidRPr="00AD412E">
        <w:rPr>
          <w:i/>
          <w:iCs/>
          <w:lang w:val="fr-FR"/>
        </w:rPr>
        <w:t>d</w:t>
      </w:r>
      <w:r w:rsidR="00A37952" w:rsidRPr="00AD412E">
        <w:rPr>
          <w:i/>
          <w:lang w:val="fr-FR"/>
        </w:rPr>
        <w:t>e section</w:t>
      </w:r>
      <w:r w:rsidRPr="00AD412E">
        <w:rPr>
          <w:i/>
          <w:lang w:val="fr-FR"/>
        </w:rPr>
        <w:t>,</w:t>
      </w:r>
    </w:p>
    <w:p w:rsidR="00E77CB3" w:rsidRPr="00AD412E" w:rsidRDefault="00E77CB3" w:rsidP="00C63990">
      <w:pPr>
        <w:pStyle w:val="ECHRPara"/>
        <w:rPr>
          <w:lang w:val="fr-FR"/>
        </w:rPr>
      </w:pPr>
      <w:r w:rsidRPr="00AD412E">
        <w:rPr>
          <w:lang w:val="fr-FR"/>
        </w:rPr>
        <w:t xml:space="preserve">Après en avoir délibéré en chambre du conseil le </w:t>
      </w:r>
      <w:r w:rsidR="00B134CD">
        <w:rPr>
          <w:lang w:val="fr-FR"/>
        </w:rPr>
        <w:t>27 janvier 2015</w:t>
      </w:r>
      <w:r w:rsidRPr="00AD412E">
        <w:rPr>
          <w:lang w:val="fr-FR"/>
        </w:rPr>
        <w:t>,</w:t>
      </w:r>
    </w:p>
    <w:p w:rsidR="00E77CB3" w:rsidRPr="00AD412E" w:rsidRDefault="00E77CB3" w:rsidP="00C63990">
      <w:pPr>
        <w:pStyle w:val="ECHRPara"/>
        <w:rPr>
          <w:lang w:val="fr-FR"/>
        </w:rPr>
      </w:pPr>
      <w:r w:rsidRPr="00AD412E">
        <w:rPr>
          <w:lang w:val="fr-FR"/>
        </w:rPr>
        <w:t>Rend l</w:t>
      </w:r>
      <w:r w:rsidR="005A6B8A">
        <w:rPr>
          <w:lang w:val="fr-FR"/>
        </w:rPr>
        <w:t>’</w:t>
      </w:r>
      <w:r w:rsidRPr="00AD412E">
        <w:rPr>
          <w:lang w:val="fr-FR"/>
        </w:rPr>
        <w:t>arrêt que voici, adopté à cette date :</w:t>
      </w:r>
    </w:p>
    <w:p w:rsidR="00E77CB3" w:rsidRPr="00AD412E" w:rsidRDefault="00E77CB3" w:rsidP="00E77CB3">
      <w:pPr>
        <w:pStyle w:val="ECHRTitle1"/>
        <w:rPr>
          <w:lang w:val="fr-FR"/>
        </w:rPr>
      </w:pPr>
      <w:r w:rsidRPr="00AD412E">
        <w:rPr>
          <w:lang w:val="fr-FR"/>
        </w:rPr>
        <w:t>PROCÉDURE</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w:t>
      </w:r>
      <w:r>
        <w:rPr>
          <w:lang w:val="fr-FR"/>
        </w:rPr>
        <w:fldChar w:fldCharType="end"/>
      </w:r>
      <w:r w:rsidR="00E77CB3" w:rsidRPr="00AD412E">
        <w:rPr>
          <w:lang w:val="fr-FR"/>
        </w:rPr>
        <w:t>.  À l</w:t>
      </w:r>
      <w:r w:rsidR="005A6B8A">
        <w:rPr>
          <w:lang w:val="fr-FR"/>
        </w:rPr>
        <w:t>’</w:t>
      </w:r>
      <w:r w:rsidR="00E77CB3" w:rsidRPr="00AD412E">
        <w:rPr>
          <w:lang w:val="fr-FR"/>
        </w:rPr>
        <w:t>origine de l</w:t>
      </w:r>
      <w:r w:rsidR="005A6B8A">
        <w:rPr>
          <w:lang w:val="fr-FR"/>
        </w:rPr>
        <w:t>’</w:t>
      </w:r>
      <w:r w:rsidR="00E77CB3" w:rsidRPr="00AD412E">
        <w:rPr>
          <w:lang w:val="fr-FR"/>
        </w:rPr>
        <w:t xml:space="preserve">affaire </w:t>
      </w:r>
      <w:r w:rsidRPr="00AD412E">
        <w:rPr>
          <w:lang w:val="fr-FR"/>
        </w:rPr>
        <w:t>se trouve une requête (n</w:t>
      </w:r>
      <w:r w:rsidRPr="00A37952">
        <w:rPr>
          <w:vertAlign w:val="superscript"/>
          <w:lang w:val="fr-FR"/>
        </w:rPr>
        <w:t>o</w:t>
      </w:r>
      <w:r w:rsidRPr="00AD412E">
        <w:rPr>
          <w:lang w:val="fr-FR"/>
        </w:rPr>
        <w:t xml:space="preserve"> </w:t>
      </w:r>
      <w:r>
        <w:rPr>
          <w:lang w:val="fr-FR"/>
        </w:rPr>
        <w:t>10401/12</w:t>
      </w:r>
      <w:r w:rsidRPr="00AD412E">
        <w:rPr>
          <w:lang w:val="fr-FR"/>
        </w:rPr>
        <w:t>) dirigée</w:t>
      </w:r>
      <w:r w:rsidR="00E77CB3" w:rsidRPr="00AD412E">
        <w:rPr>
          <w:lang w:val="fr-FR"/>
        </w:rPr>
        <w:t xml:space="preserve"> contre </w:t>
      </w:r>
      <w:r>
        <w:rPr>
          <w:lang w:val="fr-FR"/>
        </w:rPr>
        <w:t>la République française</w:t>
      </w:r>
      <w:r w:rsidR="00E77CB3" w:rsidRPr="00AD412E">
        <w:rPr>
          <w:lang w:val="fr-FR"/>
        </w:rPr>
        <w:t xml:space="preserve"> et dont </w:t>
      </w:r>
      <w:r w:rsidRPr="00AD412E">
        <w:rPr>
          <w:lang w:val="fr-FR"/>
        </w:rPr>
        <w:t xml:space="preserve">un ressortissant </w:t>
      </w:r>
      <w:r>
        <w:rPr>
          <w:lang w:val="fr-FR"/>
        </w:rPr>
        <w:t>algérien</w:t>
      </w:r>
      <w:r w:rsidRPr="00AD412E">
        <w:rPr>
          <w:lang w:val="fr-FR"/>
        </w:rPr>
        <w:t xml:space="preserve">, </w:t>
      </w:r>
      <w:r>
        <w:rPr>
          <w:lang w:val="fr-FR"/>
        </w:rPr>
        <w:t>M.</w:t>
      </w:r>
      <w:r w:rsidR="00246030">
        <w:rPr>
          <w:lang w:val="fr-FR"/>
        </w:rPr>
        <w:t> </w:t>
      </w:r>
      <w:r>
        <w:rPr>
          <w:lang w:val="fr-FR"/>
        </w:rPr>
        <w:t>Mohammed</w:t>
      </w:r>
      <w:r w:rsidRPr="00AD412E">
        <w:rPr>
          <w:lang w:val="fr-FR"/>
        </w:rPr>
        <w:t xml:space="preserve"> </w:t>
      </w:r>
      <w:r>
        <w:rPr>
          <w:lang w:val="fr-FR"/>
        </w:rPr>
        <w:t>Helhal</w:t>
      </w:r>
      <w:r w:rsidRPr="00AD412E">
        <w:rPr>
          <w:lang w:val="fr-FR"/>
        </w:rPr>
        <w:t xml:space="preserve"> (« le requérant »), a saisi la Cour le </w:t>
      </w:r>
      <w:r>
        <w:rPr>
          <w:lang w:val="fr-FR"/>
        </w:rPr>
        <w:t>23 novembre 2011</w:t>
      </w:r>
      <w:r w:rsidR="00E77CB3" w:rsidRPr="00AD412E">
        <w:rPr>
          <w:lang w:val="fr-FR"/>
        </w:rPr>
        <w:t xml:space="preserve"> en vertu de </w:t>
      </w:r>
      <w:r w:rsidRPr="00AD412E">
        <w:rPr>
          <w:lang w:val="fr-FR"/>
        </w:rPr>
        <w:t>l</w:t>
      </w:r>
      <w:r w:rsidR="005A6B8A">
        <w:rPr>
          <w:lang w:val="fr-FR"/>
        </w:rPr>
        <w:t>’</w:t>
      </w:r>
      <w:r w:rsidRPr="00AD412E">
        <w:rPr>
          <w:lang w:val="fr-FR"/>
        </w:rPr>
        <w:t>article 34</w:t>
      </w:r>
      <w:r w:rsidR="00E77CB3" w:rsidRPr="00AD412E">
        <w:rPr>
          <w:lang w:val="fr-FR"/>
        </w:rPr>
        <w:t xml:space="preserve"> de la Convention de sauvegarde des droits de l</w:t>
      </w:r>
      <w:r w:rsidR="005A6B8A">
        <w:rPr>
          <w:lang w:val="fr-FR"/>
        </w:rPr>
        <w:t>’</w:t>
      </w:r>
      <w:r w:rsidR="00E77CB3" w:rsidRPr="00AD412E">
        <w:rPr>
          <w:lang w:val="fr-FR"/>
        </w:rPr>
        <w:t>homme et des libertés fondamentales (« la Convention »).</w:t>
      </w:r>
    </w:p>
    <w:p w:rsidR="00A37952"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w:t>
      </w:r>
      <w:r>
        <w:rPr>
          <w:lang w:val="fr-FR"/>
        </w:rPr>
        <w:fldChar w:fldCharType="end"/>
      </w:r>
      <w:r w:rsidR="00E77CB3" w:rsidRPr="00AD412E">
        <w:rPr>
          <w:lang w:val="fr-FR"/>
        </w:rPr>
        <w:t>.  </w:t>
      </w:r>
      <w:r w:rsidRPr="00AD412E">
        <w:rPr>
          <w:lang w:val="fr-FR"/>
        </w:rPr>
        <w:t xml:space="preserve">Le requérant </w:t>
      </w:r>
      <w:r w:rsidR="00941516">
        <w:rPr>
          <w:lang w:val="fr-FR"/>
        </w:rPr>
        <w:t>est</w:t>
      </w:r>
      <w:r w:rsidRPr="00AD412E">
        <w:rPr>
          <w:lang w:val="fr-FR"/>
        </w:rPr>
        <w:t xml:space="preserve"> représenté par M</w:t>
      </w:r>
      <w:r w:rsidRPr="00AD412E">
        <w:rPr>
          <w:vertAlign w:val="superscript"/>
          <w:lang w:val="fr-FR"/>
        </w:rPr>
        <w:t>e</w:t>
      </w:r>
      <w:r w:rsidRPr="00AD412E">
        <w:rPr>
          <w:lang w:val="fr-FR"/>
        </w:rPr>
        <w:t> </w:t>
      </w:r>
      <w:r>
        <w:rPr>
          <w:lang w:val="fr-FR"/>
        </w:rPr>
        <w:t>P.</w:t>
      </w:r>
      <w:r w:rsidRPr="00AD412E">
        <w:rPr>
          <w:lang w:val="fr-FR"/>
        </w:rPr>
        <w:t xml:space="preserve"> </w:t>
      </w:r>
      <w:r>
        <w:rPr>
          <w:lang w:val="fr-FR"/>
        </w:rPr>
        <w:t>Spinosi</w:t>
      </w:r>
      <w:r w:rsidRPr="00AD412E">
        <w:rPr>
          <w:lang w:val="fr-FR"/>
        </w:rPr>
        <w:t xml:space="preserve">, avocat à </w:t>
      </w:r>
      <w:r>
        <w:rPr>
          <w:lang w:val="fr-FR"/>
        </w:rPr>
        <w:t>Paris</w:t>
      </w:r>
      <w:r w:rsidRPr="00AD412E">
        <w:rPr>
          <w:lang w:val="fr-FR"/>
        </w:rPr>
        <w:t xml:space="preserve">. </w:t>
      </w:r>
      <w:r w:rsidR="00E77CB3" w:rsidRPr="00AD412E">
        <w:rPr>
          <w:lang w:val="fr-FR"/>
        </w:rPr>
        <w:t xml:space="preserve">Le gouvernement </w:t>
      </w:r>
      <w:r>
        <w:rPr>
          <w:lang w:val="fr-FR"/>
        </w:rPr>
        <w:t>français</w:t>
      </w:r>
      <w:r w:rsidR="00E77CB3" w:rsidRPr="00AD412E">
        <w:rPr>
          <w:lang w:val="fr-FR"/>
        </w:rPr>
        <w:t xml:space="preserve"> (« le Gouvernement ») a été représenté par son agent, </w:t>
      </w:r>
      <w:r w:rsidR="00BB6B62">
        <w:rPr>
          <w:lang w:val="fr-FR"/>
        </w:rPr>
        <w:t>M</w:t>
      </w:r>
      <w:r w:rsidR="00BB6B62" w:rsidRPr="00941516">
        <w:rPr>
          <w:vertAlign w:val="superscript"/>
          <w:lang w:val="fr-FR"/>
        </w:rPr>
        <w:t>me</w:t>
      </w:r>
      <w:r w:rsidR="00BB6B62">
        <w:rPr>
          <w:lang w:val="fr-FR"/>
        </w:rPr>
        <w:t xml:space="preserve"> E. Belliard</w:t>
      </w:r>
      <w:r w:rsidR="00BB6B62" w:rsidRPr="00AD412E">
        <w:rPr>
          <w:lang w:val="fr-FR"/>
        </w:rPr>
        <w:t>,</w:t>
      </w:r>
      <w:r w:rsidR="00BB6B62">
        <w:rPr>
          <w:lang w:val="fr-FR"/>
        </w:rPr>
        <w:t xml:space="preserve"> directrice des Affaires juridiques au ministère</w:t>
      </w:r>
      <w:r w:rsidR="00067570">
        <w:rPr>
          <w:lang w:val="fr-FR"/>
        </w:rPr>
        <w:t xml:space="preserve"> </w:t>
      </w:r>
      <w:r w:rsidR="00BB6B62">
        <w:rPr>
          <w:lang w:val="fr-FR"/>
        </w:rPr>
        <w:t>des Affaires étrangères</w:t>
      </w:r>
      <w:r w:rsidR="00BB6B62" w:rsidRPr="00AD412E">
        <w:rPr>
          <w:lang w:val="fr-FR"/>
        </w:rPr>
        <w:t>.</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w:t>
      </w:r>
      <w:r>
        <w:rPr>
          <w:lang w:val="fr-FR"/>
        </w:rPr>
        <w:fldChar w:fldCharType="end"/>
      </w:r>
      <w:r w:rsidRPr="00AD412E">
        <w:rPr>
          <w:lang w:val="fr-FR"/>
        </w:rPr>
        <w:t>.  Le requérant</w:t>
      </w:r>
      <w:r w:rsidR="00874663">
        <w:rPr>
          <w:lang w:val="fr-FR"/>
        </w:rPr>
        <w:t xml:space="preserve">, handicapé, </w:t>
      </w:r>
      <w:r w:rsidRPr="00AD412E">
        <w:rPr>
          <w:lang w:val="fr-FR"/>
        </w:rPr>
        <w:t>allègue</w:t>
      </w:r>
      <w:r w:rsidR="00874663">
        <w:rPr>
          <w:lang w:val="fr-FR"/>
        </w:rPr>
        <w:t xml:space="preserve"> que son maintien en détention est incompatible avec l</w:t>
      </w:r>
      <w:r w:rsidR="005A6B8A">
        <w:rPr>
          <w:lang w:val="fr-FR"/>
        </w:rPr>
        <w:t>’</w:t>
      </w:r>
      <w:r w:rsidR="00874663">
        <w:rPr>
          <w:lang w:val="fr-FR"/>
        </w:rPr>
        <w:t>article 3 de la Convention, de même que les soins qu</w:t>
      </w:r>
      <w:r w:rsidR="005A6B8A">
        <w:rPr>
          <w:lang w:val="fr-FR"/>
        </w:rPr>
        <w:t>’</w:t>
      </w:r>
      <w:r w:rsidR="00874663">
        <w:rPr>
          <w:lang w:val="fr-FR"/>
        </w:rPr>
        <w:t>il reçoit en prison.</w:t>
      </w:r>
    </w:p>
    <w:p w:rsidR="00E77CB3" w:rsidRPr="00AD412E" w:rsidRDefault="00A37952" w:rsidP="00C63990">
      <w:pPr>
        <w:pStyle w:val="ECHRPara"/>
        <w:rPr>
          <w:szCs w:val="24"/>
          <w:lang w:val="fr-FR" w:eastAsia="en-GB"/>
        </w:rPr>
      </w:pPr>
      <w:r>
        <w:rPr>
          <w:lang w:val="fr-FR"/>
        </w:rPr>
        <w:fldChar w:fldCharType="begin"/>
      </w:r>
      <w:r>
        <w:rPr>
          <w:lang w:val="fr-FR"/>
        </w:rPr>
        <w:instrText xml:space="preserve"> SEQ level0 \*arabic </w:instrText>
      </w:r>
      <w:r>
        <w:rPr>
          <w:lang w:val="fr-FR"/>
        </w:rPr>
        <w:fldChar w:fldCharType="separate"/>
      </w:r>
      <w:r w:rsidR="00746EA9">
        <w:rPr>
          <w:noProof/>
          <w:lang w:val="fr-FR"/>
        </w:rPr>
        <w:t>4</w:t>
      </w:r>
      <w:r>
        <w:rPr>
          <w:lang w:val="fr-FR"/>
        </w:rPr>
        <w:fldChar w:fldCharType="end"/>
      </w:r>
      <w:r w:rsidR="00E77CB3" w:rsidRPr="00AD412E">
        <w:rPr>
          <w:lang w:val="fr-FR"/>
        </w:rPr>
        <w:t>.  </w:t>
      </w:r>
      <w:r w:rsidRPr="00AD412E">
        <w:rPr>
          <w:lang w:val="fr-FR"/>
        </w:rPr>
        <w:t xml:space="preserve">Le </w:t>
      </w:r>
      <w:r>
        <w:rPr>
          <w:szCs w:val="24"/>
          <w:lang w:val="fr-FR"/>
        </w:rPr>
        <w:t>17 décembre 2012</w:t>
      </w:r>
      <w:r w:rsidR="00E77CB3" w:rsidRPr="00AD412E">
        <w:rPr>
          <w:lang w:val="fr-FR"/>
        </w:rPr>
        <w:t xml:space="preserve">, </w:t>
      </w:r>
      <w:r w:rsidRPr="00AD412E">
        <w:rPr>
          <w:lang w:val="fr-FR"/>
        </w:rPr>
        <w:t>la requête a été communiquée au Gouvernement</w:t>
      </w:r>
      <w:r w:rsidR="00C1262B" w:rsidRPr="00AD412E">
        <w:rPr>
          <w:lang w:val="fr-FR"/>
        </w:rPr>
        <w:t>.</w:t>
      </w:r>
    </w:p>
    <w:p w:rsidR="00E77CB3" w:rsidRPr="00AD412E" w:rsidRDefault="00E77CB3" w:rsidP="00E77CB3">
      <w:pPr>
        <w:pStyle w:val="ECHRTitle1"/>
        <w:tabs>
          <w:tab w:val="left" w:pos="5387"/>
        </w:tabs>
        <w:rPr>
          <w:lang w:val="fr-FR"/>
        </w:rPr>
      </w:pPr>
      <w:r w:rsidRPr="00AD412E">
        <w:rPr>
          <w:lang w:val="fr-FR"/>
        </w:rPr>
        <w:t>EN FAIT</w:t>
      </w:r>
    </w:p>
    <w:p w:rsidR="00E77CB3" w:rsidRDefault="00E77CB3" w:rsidP="00C63990">
      <w:pPr>
        <w:pStyle w:val="ECHRHeading1"/>
        <w:rPr>
          <w:lang w:val="fr-FR"/>
        </w:rPr>
      </w:pPr>
      <w:r w:rsidRPr="00AD412E">
        <w:rPr>
          <w:lang w:val="fr-FR"/>
        </w:rPr>
        <w:t>I.  LES CIRCONSTANCES DE L</w:t>
      </w:r>
      <w:r w:rsidR="005A6B8A">
        <w:rPr>
          <w:lang w:val="fr-FR"/>
        </w:rPr>
        <w:t>’</w:t>
      </w:r>
      <w:r w:rsidRPr="00AD412E">
        <w:rPr>
          <w:lang w:val="fr-FR"/>
        </w:rPr>
        <w:t>ESPÈCE</w:t>
      </w:r>
    </w:p>
    <w:p w:rsidR="00E84F4C" w:rsidRPr="00E84F4C" w:rsidRDefault="00E13CD0" w:rsidP="00E84F4C">
      <w:pPr>
        <w:pStyle w:val="ECHRHeading2"/>
        <w:rPr>
          <w:lang w:val="fr-FR"/>
        </w:rPr>
      </w:pPr>
      <w:r>
        <w:rPr>
          <w:lang w:val="fr-FR"/>
        </w:rPr>
        <w:t>A.  </w:t>
      </w:r>
      <w:r w:rsidR="00E84F4C">
        <w:rPr>
          <w:lang w:val="fr-FR"/>
        </w:rPr>
        <w:t>Faits</w:t>
      </w:r>
      <w:r w:rsidR="00275E2B">
        <w:rPr>
          <w:lang w:val="fr-FR"/>
        </w:rPr>
        <w:t xml:space="preserve"> présentés</w:t>
      </w:r>
      <w:r w:rsidR="00E84F4C">
        <w:rPr>
          <w:lang w:val="fr-FR"/>
        </w:rPr>
        <w:t xml:space="preserve"> au moment de l</w:t>
      </w:r>
      <w:r w:rsidR="005A6B8A">
        <w:rPr>
          <w:lang w:val="fr-FR"/>
        </w:rPr>
        <w:t>’</w:t>
      </w:r>
      <w:r w:rsidR="00E84F4C">
        <w:rPr>
          <w:lang w:val="fr-FR"/>
        </w:rPr>
        <w:t>introduction de la requête</w:t>
      </w:r>
    </w:p>
    <w:p w:rsidR="00D25850" w:rsidRPr="00D25850" w:rsidRDefault="005D342D"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w:t>
      </w:r>
      <w:r>
        <w:rPr>
          <w:lang w:val="fr-FR"/>
        </w:rPr>
        <w:fldChar w:fldCharType="end"/>
      </w:r>
      <w:r>
        <w:rPr>
          <w:lang w:val="fr-FR"/>
        </w:rPr>
        <w:t xml:space="preserve">.  Le requérant, né en 1972, </w:t>
      </w:r>
      <w:r w:rsidR="00D25850" w:rsidRPr="00D25850">
        <w:rPr>
          <w:lang w:val="fr-FR"/>
        </w:rPr>
        <w:t>purge une peine de trente ans de réclusion criminelle prononcée le 31 mai 2007 p</w:t>
      </w:r>
      <w:r w:rsidR="00246030">
        <w:rPr>
          <w:lang w:val="fr-FR"/>
        </w:rPr>
        <w:t>ar la cour d</w:t>
      </w:r>
      <w:r w:rsidR="005A6B8A">
        <w:rPr>
          <w:lang w:val="fr-FR"/>
        </w:rPr>
        <w:t>’</w:t>
      </w:r>
      <w:r w:rsidR="00E13CD0">
        <w:rPr>
          <w:lang w:val="fr-FR"/>
        </w:rPr>
        <w:t>assises de Meurthe</w:t>
      </w:r>
      <w:r w:rsidR="00E13CD0">
        <w:rPr>
          <w:lang w:val="fr-FR"/>
        </w:rPr>
        <w:noBreakHyphen/>
        <w:t>et</w:t>
      </w:r>
      <w:r w:rsidR="00E13CD0">
        <w:rPr>
          <w:lang w:val="fr-FR"/>
        </w:rPr>
        <w:noBreakHyphen/>
      </w:r>
      <w:r w:rsidR="00D25850" w:rsidRPr="00D25850">
        <w:rPr>
          <w:lang w:val="fr-FR"/>
        </w:rPr>
        <w:t>Moselle</w:t>
      </w:r>
      <w:r w:rsidR="003D5200">
        <w:rPr>
          <w:lang w:val="fr-FR"/>
        </w:rPr>
        <w:t xml:space="preserve"> pour des faits d</w:t>
      </w:r>
      <w:r w:rsidR="005A6B8A">
        <w:rPr>
          <w:lang w:val="fr-FR"/>
        </w:rPr>
        <w:t>’</w:t>
      </w:r>
      <w:r w:rsidR="003D5200">
        <w:rPr>
          <w:lang w:val="fr-FR"/>
        </w:rPr>
        <w:t>assassinat, tentative d</w:t>
      </w:r>
      <w:r w:rsidR="005A6B8A">
        <w:rPr>
          <w:lang w:val="fr-FR"/>
        </w:rPr>
        <w:t>’</w:t>
      </w:r>
      <w:r w:rsidR="003D5200">
        <w:rPr>
          <w:lang w:val="fr-FR"/>
        </w:rPr>
        <w:t>assassinat et violence avec usage ou menace d</w:t>
      </w:r>
      <w:r w:rsidR="005A6B8A">
        <w:rPr>
          <w:lang w:val="fr-FR"/>
        </w:rPr>
        <w:t>’</w:t>
      </w:r>
      <w:r w:rsidR="003D5200">
        <w:rPr>
          <w:lang w:val="fr-FR"/>
        </w:rPr>
        <w:t>une arme</w:t>
      </w:r>
      <w:r w:rsidR="00D25850" w:rsidRPr="00D25850">
        <w:rPr>
          <w:lang w:val="fr-FR"/>
        </w:rPr>
        <w:t>. Il est écroué depuis le 17 mai 2002 et libérable le 18 juillet 2027.</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w:t>
      </w:r>
      <w:r>
        <w:rPr>
          <w:lang w:val="fr-FR"/>
        </w:rPr>
        <w:fldChar w:fldCharType="end"/>
      </w:r>
      <w:r>
        <w:rPr>
          <w:lang w:val="fr-FR"/>
        </w:rPr>
        <w:t>.  </w:t>
      </w:r>
      <w:r w:rsidR="00D25850" w:rsidRPr="00D25850">
        <w:rPr>
          <w:lang w:val="fr-FR"/>
        </w:rPr>
        <w:t>Le 18 mars 2006, lors de sa période d</w:t>
      </w:r>
      <w:r w:rsidR="005A6B8A">
        <w:rPr>
          <w:lang w:val="fr-FR"/>
        </w:rPr>
        <w:t>’</w:t>
      </w:r>
      <w:r w:rsidR="00D25850" w:rsidRPr="00D25850">
        <w:rPr>
          <w:lang w:val="fr-FR"/>
        </w:rPr>
        <w:t>incarcération à Nancy, le requérant fut victime</w:t>
      </w:r>
      <w:r w:rsidR="00874663">
        <w:rPr>
          <w:lang w:val="fr-FR"/>
        </w:rPr>
        <w:t>,</w:t>
      </w:r>
      <w:r w:rsidR="00D25850" w:rsidRPr="00D25850">
        <w:rPr>
          <w:lang w:val="fr-FR"/>
        </w:rPr>
        <w:t xml:space="preserve"> à la suite d</w:t>
      </w:r>
      <w:r w:rsidR="005A6B8A">
        <w:rPr>
          <w:lang w:val="fr-FR"/>
        </w:rPr>
        <w:t>’</w:t>
      </w:r>
      <w:r w:rsidR="00D25850" w:rsidRPr="00D25850">
        <w:rPr>
          <w:lang w:val="fr-FR"/>
        </w:rPr>
        <w:t>une tentative d</w:t>
      </w:r>
      <w:r w:rsidR="005A6B8A">
        <w:rPr>
          <w:lang w:val="fr-FR"/>
        </w:rPr>
        <w:t>’</w:t>
      </w:r>
      <w:r w:rsidR="00D25850" w:rsidRPr="00D25850">
        <w:rPr>
          <w:lang w:val="fr-FR"/>
        </w:rPr>
        <w:t>évasion</w:t>
      </w:r>
      <w:r w:rsidR="00874663">
        <w:rPr>
          <w:lang w:val="fr-FR"/>
        </w:rPr>
        <w:t>,</w:t>
      </w:r>
      <w:r w:rsidR="00D25850" w:rsidRPr="00D25850">
        <w:rPr>
          <w:lang w:val="fr-FR"/>
        </w:rPr>
        <w:t xml:space="preserve"> d</w:t>
      </w:r>
      <w:r w:rsidR="005A6B8A">
        <w:rPr>
          <w:lang w:val="fr-FR"/>
        </w:rPr>
        <w:t>’</w:t>
      </w:r>
      <w:r w:rsidR="00D25850" w:rsidRPr="00D25850">
        <w:rPr>
          <w:lang w:val="fr-FR"/>
        </w:rPr>
        <w:t>une chute de plusieurs mètres engendrant une fracture de la colonne vertébrale. Il passa plusieurs mois à l</w:t>
      </w:r>
      <w:r w:rsidR="005A6B8A">
        <w:rPr>
          <w:lang w:val="fr-FR"/>
        </w:rPr>
        <w:t>’</w:t>
      </w:r>
      <w:r w:rsidR="00D25850" w:rsidRPr="00D25850">
        <w:rPr>
          <w:lang w:val="fr-FR"/>
        </w:rPr>
        <w:t>hôpital de rééducation de Fresnes avant d</w:t>
      </w:r>
      <w:r w:rsidR="005A6B8A">
        <w:rPr>
          <w:lang w:val="fr-FR"/>
        </w:rPr>
        <w:t>’</w:t>
      </w:r>
      <w:r w:rsidR="00D25850" w:rsidRPr="00D25850">
        <w:rPr>
          <w:lang w:val="fr-FR"/>
        </w:rPr>
        <w:t>être transféré à la maison d</w:t>
      </w:r>
      <w:r w:rsidR="005A6B8A">
        <w:rPr>
          <w:lang w:val="fr-FR"/>
        </w:rPr>
        <w:t>’</w:t>
      </w:r>
      <w:r w:rsidR="00D25850" w:rsidRPr="00D25850">
        <w:rPr>
          <w:lang w:val="fr-FR"/>
        </w:rPr>
        <w:t>arrêt de Mulhouse où il a rencontré d</w:t>
      </w:r>
      <w:r w:rsidR="005A6B8A">
        <w:rPr>
          <w:lang w:val="fr-FR"/>
        </w:rPr>
        <w:t>’</w:t>
      </w:r>
      <w:r w:rsidR="00D25850" w:rsidRPr="00D25850">
        <w:rPr>
          <w:lang w:val="fr-FR"/>
        </w:rPr>
        <w:t>importantes difficultés (notamment à cause des escaliers qui l</w:t>
      </w:r>
      <w:r w:rsidR="005A6B8A">
        <w:rPr>
          <w:lang w:val="fr-FR"/>
        </w:rPr>
        <w:t>’</w:t>
      </w:r>
      <w:r w:rsidR="00D25850" w:rsidRPr="00D25850">
        <w:rPr>
          <w:lang w:val="fr-FR"/>
        </w:rPr>
        <w:t>empêchaient de se</w:t>
      </w:r>
      <w:r w:rsidR="00874663">
        <w:rPr>
          <w:lang w:val="fr-FR"/>
        </w:rPr>
        <w:t xml:space="preserve"> déplacer seul) et au centre </w:t>
      </w:r>
      <w:r w:rsidR="00D25850" w:rsidRPr="00D25850">
        <w:rPr>
          <w:lang w:val="fr-FR"/>
        </w:rPr>
        <w:t>pénitentiaire de Metz dans une cellule inadaptée à l</w:t>
      </w:r>
      <w:r w:rsidR="005A6B8A">
        <w:rPr>
          <w:lang w:val="fr-FR"/>
        </w:rPr>
        <w:t>’</w:t>
      </w:r>
      <w:r w:rsidR="00D25850" w:rsidRPr="00D25850">
        <w:rPr>
          <w:lang w:val="fr-FR"/>
        </w:rPr>
        <w:t>usage d</w:t>
      </w:r>
      <w:r w:rsidR="005A6B8A">
        <w:rPr>
          <w:lang w:val="fr-FR"/>
        </w:rPr>
        <w:t>’</w:t>
      </w:r>
      <w:r w:rsidR="00D25850" w:rsidRPr="00D25850">
        <w:rPr>
          <w:lang w:val="fr-FR"/>
        </w:rPr>
        <w:t>un fauteuil roulant. Par la suite, il fut à n</w:t>
      </w:r>
      <w:r w:rsidR="00246030">
        <w:rPr>
          <w:lang w:val="fr-FR"/>
        </w:rPr>
        <w:t>ouveau transféré à Fresnes du 5 </w:t>
      </w:r>
      <w:r w:rsidR="00D25850" w:rsidRPr="00D25850">
        <w:rPr>
          <w:lang w:val="fr-FR"/>
        </w:rPr>
        <w:t xml:space="preserve">novembre 2008 au 28 mai 2009. </w:t>
      </w:r>
      <w:r w:rsidR="00FC35B7">
        <w:rPr>
          <w:lang w:val="fr-FR"/>
        </w:rPr>
        <w:t>A compter de cette date, et jusqu</w:t>
      </w:r>
      <w:r w:rsidR="005A6B8A">
        <w:rPr>
          <w:lang w:val="fr-FR"/>
        </w:rPr>
        <w:t>’</w:t>
      </w:r>
      <w:r w:rsidR="00E13CD0">
        <w:rPr>
          <w:lang w:val="fr-FR"/>
        </w:rPr>
        <w:t>au 17 </w:t>
      </w:r>
      <w:r w:rsidR="00FC35B7">
        <w:rPr>
          <w:lang w:val="fr-FR"/>
        </w:rPr>
        <w:t>septembre 2014, il fut</w:t>
      </w:r>
      <w:r w:rsidR="00D25850" w:rsidRPr="00D25850">
        <w:rPr>
          <w:lang w:val="fr-FR"/>
        </w:rPr>
        <w:t xml:space="preserve"> détenu au centre de détention d</w:t>
      </w:r>
      <w:r w:rsidR="005A6B8A">
        <w:rPr>
          <w:lang w:val="fr-FR"/>
        </w:rPr>
        <w:t>’</w:t>
      </w:r>
      <w:r w:rsidR="00D25850" w:rsidRPr="00D25850">
        <w:rPr>
          <w:lang w:val="fr-FR"/>
        </w:rPr>
        <w:t>Uzerche.</w:t>
      </w:r>
      <w:r w:rsidR="005D342D" w:rsidRPr="005D342D">
        <w:rPr>
          <w:lang w:val="fr-FR"/>
        </w:rPr>
        <w:t xml:space="preserve"> </w:t>
      </w:r>
      <w:r w:rsidR="005D342D">
        <w:rPr>
          <w:lang w:val="fr-FR"/>
        </w:rPr>
        <w:t>Il fut transféré à cette date au centre pénitentiaire de Poitiers-Vivonne</w:t>
      </w:r>
      <w:r w:rsidR="00AC6930">
        <w:rPr>
          <w:lang w:val="fr-FR"/>
        </w:rPr>
        <w:t xml:space="preserve"> où il est actuellement détenu</w:t>
      </w:r>
      <w:r w:rsidR="005D342D">
        <w:rPr>
          <w:lang w:val="fr-FR"/>
        </w:rPr>
        <w:t>.</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7</w:t>
      </w:r>
      <w:r>
        <w:rPr>
          <w:lang w:val="fr-FR"/>
        </w:rPr>
        <w:fldChar w:fldCharType="end"/>
      </w:r>
      <w:r>
        <w:rPr>
          <w:lang w:val="fr-FR"/>
        </w:rPr>
        <w:t>.  </w:t>
      </w:r>
      <w:r w:rsidR="00D25850" w:rsidRPr="00D25850">
        <w:rPr>
          <w:lang w:val="fr-FR"/>
        </w:rPr>
        <w:t>Le 12 août 2010, le requérant forma auprès du juge de l</w:t>
      </w:r>
      <w:r w:rsidR="005A6B8A">
        <w:rPr>
          <w:lang w:val="fr-FR"/>
        </w:rPr>
        <w:t>’</w:t>
      </w:r>
      <w:r w:rsidR="00D25850" w:rsidRPr="00D25850">
        <w:rPr>
          <w:lang w:val="fr-FR"/>
        </w:rPr>
        <w:t>application des peines de Tulle une demande de suspension de peine pour raison médicale sur le fondement de l</w:t>
      </w:r>
      <w:r w:rsidR="005A6B8A">
        <w:rPr>
          <w:lang w:val="fr-FR"/>
        </w:rPr>
        <w:t>’</w:t>
      </w:r>
      <w:r w:rsidR="00D25850" w:rsidRPr="00D25850">
        <w:rPr>
          <w:lang w:val="fr-FR"/>
        </w:rPr>
        <w:t>article 720-1-1 du code de procédure pénale (</w:t>
      </w:r>
      <w:r w:rsidR="00947266">
        <w:rPr>
          <w:lang w:val="fr-FR"/>
        </w:rPr>
        <w:t xml:space="preserve">ci-après « CPP », </w:t>
      </w:r>
      <w:r w:rsidR="00275E2B">
        <w:rPr>
          <w:lang w:val="fr-FR"/>
        </w:rPr>
        <w:t xml:space="preserve">paragraphe </w:t>
      </w:r>
      <w:r w:rsidR="00C024F4">
        <w:rPr>
          <w:lang w:val="fr-FR"/>
        </w:rPr>
        <w:t>2</w:t>
      </w:r>
      <w:r w:rsidR="00981F7C">
        <w:rPr>
          <w:lang w:val="fr-FR"/>
        </w:rPr>
        <w:t>7</w:t>
      </w:r>
      <w:r w:rsidR="00D25850" w:rsidRPr="00D25850">
        <w:rPr>
          <w:lang w:val="fr-FR"/>
        </w:rPr>
        <w:t xml:space="preserve"> ci-dessous). Il expliqua qu</w:t>
      </w:r>
      <w:r w:rsidR="00275E2B">
        <w:rPr>
          <w:lang w:val="fr-FR"/>
        </w:rPr>
        <w:t xml:space="preserve">e, </w:t>
      </w:r>
      <w:r w:rsidR="00D25850" w:rsidRPr="00D25850">
        <w:rPr>
          <w:lang w:val="fr-FR"/>
        </w:rPr>
        <w:t>paraplégique et</w:t>
      </w:r>
      <w:r w:rsidR="00275E2B">
        <w:rPr>
          <w:lang w:val="fr-FR"/>
        </w:rPr>
        <w:t xml:space="preserve"> se déplaçant en fauteuil roulant,</w:t>
      </w:r>
      <w:r w:rsidR="00D25850" w:rsidRPr="00D25850">
        <w:rPr>
          <w:lang w:val="fr-FR"/>
        </w:rPr>
        <w:t xml:space="preserve"> les</w:t>
      </w:r>
      <w:r w:rsidR="00275E2B">
        <w:rPr>
          <w:lang w:val="fr-FR"/>
        </w:rPr>
        <w:t xml:space="preserve"> conditions de sa détention</w:t>
      </w:r>
      <w:r w:rsidR="00505273">
        <w:rPr>
          <w:lang w:val="fr-FR"/>
        </w:rPr>
        <w:t xml:space="preserve">, dans des locaux non prévus pour les fauteuils roulants, </w:t>
      </w:r>
      <w:r w:rsidR="00275E2B">
        <w:rPr>
          <w:lang w:val="fr-FR"/>
        </w:rPr>
        <w:t>étaient</w:t>
      </w:r>
      <w:r w:rsidR="00D25850" w:rsidRPr="00D25850">
        <w:rPr>
          <w:lang w:val="fr-FR"/>
        </w:rPr>
        <w:t xml:space="preserve"> inadaptées à son état de santé</w:t>
      </w:r>
      <w:r w:rsidR="00275E2B">
        <w:rPr>
          <w:lang w:val="fr-FR"/>
        </w:rPr>
        <w:t xml:space="preserve"> d</w:t>
      </w:r>
      <w:r w:rsidR="005A6B8A">
        <w:rPr>
          <w:lang w:val="fr-FR"/>
        </w:rPr>
        <w:t>’</w:t>
      </w:r>
      <w:r w:rsidR="00275E2B">
        <w:rPr>
          <w:lang w:val="fr-FR"/>
        </w:rPr>
        <w:t>une part et qu</w:t>
      </w:r>
      <w:r w:rsidR="005A6B8A">
        <w:rPr>
          <w:lang w:val="fr-FR"/>
        </w:rPr>
        <w:t>’</w:t>
      </w:r>
      <w:r w:rsidR="00275E2B">
        <w:rPr>
          <w:lang w:val="fr-FR"/>
        </w:rPr>
        <w:t>il ne pouvait</w:t>
      </w:r>
      <w:r w:rsidR="00D25850" w:rsidRPr="00D25850">
        <w:rPr>
          <w:lang w:val="fr-FR"/>
        </w:rPr>
        <w:t xml:space="preserve"> bénéficier des soins dont il a</w:t>
      </w:r>
      <w:r w:rsidR="00275E2B">
        <w:rPr>
          <w:lang w:val="fr-FR"/>
        </w:rPr>
        <w:t>vait</w:t>
      </w:r>
      <w:r w:rsidR="00D25850" w:rsidRPr="00D25850">
        <w:rPr>
          <w:lang w:val="fr-FR"/>
        </w:rPr>
        <w:t xml:space="preserve"> besoin</w:t>
      </w:r>
      <w:r w:rsidR="00505273">
        <w:rPr>
          <w:lang w:val="fr-FR"/>
        </w:rPr>
        <w:t>,</w:t>
      </w:r>
      <w:r w:rsidR="00275E2B">
        <w:rPr>
          <w:lang w:val="fr-FR"/>
        </w:rPr>
        <w:t xml:space="preserve"> d</w:t>
      </w:r>
      <w:r w:rsidR="005A6B8A">
        <w:rPr>
          <w:lang w:val="fr-FR"/>
        </w:rPr>
        <w:t>’</w:t>
      </w:r>
      <w:r w:rsidR="00275E2B">
        <w:rPr>
          <w:lang w:val="fr-FR"/>
        </w:rPr>
        <w:t>autre part</w:t>
      </w:r>
      <w:r w:rsidR="00D25850" w:rsidRPr="00D25850">
        <w:rPr>
          <w:lang w:val="fr-FR"/>
        </w:rPr>
        <w:t>. Il souligna que l</w:t>
      </w:r>
      <w:r w:rsidR="005A6B8A">
        <w:rPr>
          <w:lang w:val="fr-FR"/>
        </w:rPr>
        <w:t>’</w:t>
      </w:r>
      <w:r w:rsidR="00D25850" w:rsidRPr="00D25850">
        <w:rPr>
          <w:lang w:val="fr-FR"/>
        </w:rPr>
        <w:t>accès a</w:t>
      </w:r>
      <w:r w:rsidR="00275E2B">
        <w:rPr>
          <w:lang w:val="fr-FR"/>
        </w:rPr>
        <w:t>ux toilettes dans sa cellule était</w:t>
      </w:r>
      <w:r w:rsidR="003D5200">
        <w:rPr>
          <w:lang w:val="fr-FR"/>
        </w:rPr>
        <w:t xml:space="preserve"> indigne</w:t>
      </w:r>
      <w:r w:rsidR="00D25850" w:rsidRPr="00D25850">
        <w:rPr>
          <w:lang w:val="fr-FR"/>
        </w:rPr>
        <w:t>,</w:t>
      </w:r>
      <w:r w:rsidR="00275E2B">
        <w:rPr>
          <w:lang w:val="fr-FR"/>
        </w:rPr>
        <w:t xml:space="preserve"> qu</w:t>
      </w:r>
      <w:r w:rsidR="005A6B8A">
        <w:rPr>
          <w:lang w:val="fr-FR"/>
        </w:rPr>
        <w:t>’</w:t>
      </w:r>
      <w:r w:rsidR="00275E2B">
        <w:rPr>
          <w:lang w:val="fr-FR"/>
        </w:rPr>
        <w:t>il ne pouvait</w:t>
      </w:r>
      <w:r w:rsidR="00D25850" w:rsidRPr="00D25850">
        <w:rPr>
          <w:lang w:val="fr-FR"/>
        </w:rPr>
        <w:t xml:space="preserve"> pas </w:t>
      </w:r>
      <w:r w:rsidR="00505273">
        <w:rPr>
          <w:lang w:val="fr-FR"/>
        </w:rPr>
        <w:t>atteindre</w:t>
      </w:r>
      <w:r w:rsidR="00D25850" w:rsidRPr="00D25850">
        <w:rPr>
          <w:lang w:val="fr-FR"/>
        </w:rPr>
        <w:t xml:space="preserve"> l</w:t>
      </w:r>
      <w:r w:rsidR="005A6B8A">
        <w:rPr>
          <w:lang w:val="fr-FR"/>
        </w:rPr>
        <w:t>’</w:t>
      </w:r>
      <w:r w:rsidR="00D25850" w:rsidRPr="00D25850">
        <w:rPr>
          <w:lang w:val="fr-FR"/>
        </w:rPr>
        <w:t>ensemble de l</w:t>
      </w:r>
      <w:r w:rsidR="005A6B8A">
        <w:rPr>
          <w:lang w:val="fr-FR"/>
        </w:rPr>
        <w:t>’</w:t>
      </w:r>
      <w:r w:rsidR="00D25850" w:rsidRPr="00D25850">
        <w:rPr>
          <w:lang w:val="fr-FR"/>
        </w:rPr>
        <w:t>établissement par ses propres moyens et que les soins médicaux et paramédicaux, en par</w:t>
      </w:r>
      <w:r w:rsidR="00275E2B">
        <w:rPr>
          <w:lang w:val="fr-FR"/>
        </w:rPr>
        <w:t>ticulier de kinésithérapie, étaient</w:t>
      </w:r>
      <w:r w:rsidR="00D25850" w:rsidRPr="00D25850">
        <w:rPr>
          <w:lang w:val="fr-FR"/>
        </w:rPr>
        <w:t xml:space="preserve"> insuffisants. Il précisa </w:t>
      </w:r>
      <w:r w:rsidR="003D5200">
        <w:rPr>
          <w:lang w:val="fr-FR"/>
        </w:rPr>
        <w:t>qu</w:t>
      </w:r>
      <w:r w:rsidR="005A6B8A">
        <w:rPr>
          <w:lang w:val="fr-FR"/>
        </w:rPr>
        <w:t>’</w:t>
      </w:r>
      <w:r w:rsidR="00A86DBC">
        <w:rPr>
          <w:lang w:val="fr-FR"/>
        </w:rPr>
        <w:t xml:space="preserve">il </w:t>
      </w:r>
      <w:r w:rsidR="003D5200">
        <w:rPr>
          <w:lang w:val="fr-FR"/>
        </w:rPr>
        <w:t>n</w:t>
      </w:r>
      <w:r w:rsidR="00A86DBC">
        <w:rPr>
          <w:lang w:val="fr-FR"/>
        </w:rPr>
        <w:t>e</w:t>
      </w:r>
      <w:r w:rsidR="003D5200">
        <w:rPr>
          <w:lang w:val="fr-FR"/>
        </w:rPr>
        <w:t xml:space="preserve"> pouvait se rendre aux douches par ses propres moyens</w:t>
      </w:r>
      <w:r w:rsidR="00D25850" w:rsidRPr="00D25850">
        <w:rPr>
          <w:lang w:val="fr-FR"/>
        </w:rPr>
        <w:t xml:space="preserve"> et que l</w:t>
      </w:r>
      <w:r w:rsidR="003D5200">
        <w:rPr>
          <w:lang w:val="fr-FR"/>
        </w:rPr>
        <w:t>e</w:t>
      </w:r>
      <w:r w:rsidR="00275E2B">
        <w:rPr>
          <w:lang w:val="fr-FR"/>
        </w:rPr>
        <w:t xml:space="preserve"> centre pénitentiaire </w:t>
      </w:r>
      <w:r w:rsidR="003D5200">
        <w:rPr>
          <w:lang w:val="fr-FR"/>
        </w:rPr>
        <w:t xml:space="preserve">avait </w:t>
      </w:r>
      <w:r w:rsidR="00D25850" w:rsidRPr="00D25850">
        <w:rPr>
          <w:lang w:val="fr-FR"/>
        </w:rPr>
        <w:t>m</w:t>
      </w:r>
      <w:r w:rsidR="003D5200">
        <w:rPr>
          <w:lang w:val="fr-FR"/>
        </w:rPr>
        <w:t>is</w:t>
      </w:r>
      <w:r w:rsidR="00D25850" w:rsidRPr="00D25850">
        <w:rPr>
          <w:lang w:val="fr-FR"/>
        </w:rPr>
        <w:t xml:space="preserve"> un détenu à sa disposition</w:t>
      </w:r>
      <w:r w:rsidR="00A86DBC">
        <w:rPr>
          <w:lang w:val="fr-FR"/>
        </w:rPr>
        <w:t>,</w:t>
      </w:r>
      <w:r w:rsidR="00D25850" w:rsidRPr="00D25850">
        <w:rPr>
          <w:lang w:val="fr-FR"/>
        </w:rPr>
        <w:t xml:space="preserve"> payé cinquante euros par mois pour l</w:t>
      </w:r>
      <w:r w:rsidR="005A6B8A">
        <w:rPr>
          <w:lang w:val="fr-FR"/>
        </w:rPr>
        <w:t>’</w:t>
      </w:r>
      <w:r w:rsidR="00D25850" w:rsidRPr="00D25850">
        <w:rPr>
          <w:lang w:val="fr-FR"/>
        </w:rPr>
        <w:t>assister. Cet auxiliaire détenu a en charge le nettoyage de sa cellule et l</w:t>
      </w:r>
      <w:r w:rsidR="005A6B8A">
        <w:rPr>
          <w:lang w:val="fr-FR"/>
        </w:rPr>
        <w:t>’</w:t>
      </w:r>
      <w:r w:rsidR="00D25850" w:rsidRPr="00D25850">
        <w:rPr>
          <w:lang w:val="fr-FR"/>
        </w:rPr>
        <w:t>accompagne pour se doucher afin qu</w:t>
      </w:r>
      <w:r w:rsidR="005A6B8A">
        <w:rPr>
          <w:lang w:val="fr-FR"/>
        </w:rPr>
        <w:t>’</w:t>
      </w:r>
      <w:r w:rsidR="00D25850" w:rsidRPr="00D25850">
        <w:rPr>
          <w:lang w:val="fr-FR"/>
        </w:rPr>
        <w:t>il puisse accéder aux sanitaires.</w:t>
      </w:r>
    </w:p>
    <w:p w:rsidR="0006757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8</w:t>
      </w:r>
      <w:r>
        <w:rPr>
          <w:lang w:val="fr-FR"/>
        </w:rPr>
        <w:fldChar w:fldCharType="end"/>
      </w:r>
      <w:r>
        <w:rPr>
          <w:lang w:val="fr-FR"/>
        </w:rPr>
        <w:t>.  </w:t>
      </w:r>
      <w:r w:rsidR="00D25850" w:rsidRPr="00D25850">
        <w:rPr>
          <w:lang w:val="fr-FR"/>
        </w:rPr>
        <w:t>Par une ordonnance du 27 septembre 2010, le juge désigna en qualité d</w:t>
      </w:r>
      <w:r w:rsidR="005A6B8A">
        <w:rPr>
          <w:lang w:val="fr-FR"/>
        </w:rPr>
        <w:t>’</w:t>
      </w:r>
      <w:r w:rsidR="00D25850" w:rsidRPr="00D25850">
        <w:rPr>
          <w:lang w:val="fr-FR"/>
        </w:rPr>
        <w:t>expert</w:t>
      </w:r>
      <w:r w:rsidR="00505273">
        <w:rPr>
          <w:lang w:val="fr-FR"/>
        </w:rPr>
        <w:t>s</w:t>
      </w:r>
      <w:r w:rsidR="00D25850" w:rsidRPr="00D25850">
        <w:rPr>
          <w:lang w:val="fr-FR"/>
        </w:rPr>
        <w:t xml:space="preserve"> deux médecins qui déposèrent leur rapport d</w:t>
      </w:r>
      <w:r w:rsidR="005A6B8A">
        <w:rPr>
          <w:lang w:val="fr-FR"/>
        </w:rPr>
        <w:t>’</w:t>
      </w:r>
      <w:r w:rsidR="00D25850" w:rsidRPr="00D25850">
        <w:rPr>
          <w:lang w:val="fr-FR"/>
        </w:rPr>
        <w:t>expertise les 2 et 14 novembre 2010.</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9</w:t>
      </w:r>
      <w:r>
        <w:rPr>
          <w:lang w:val="fr-FR"/>
        </w:rPr>
        <w:fldChar w:fldCharType="end"/>
      </w:r>
      <w:r>
        <w:rPr>
          <w:lang w:val="fr-FR"/>
        </w:rPr>
        <w:t>.  </w:t>
      </w:r>
      <w:r w:rsidR="00D25850" w:rsidRPr="00D25850">
        <w:rPr>
          <w:lang w:val="fr-FR"/>
        </w:rPr>
        <w:t>Le rapport du D</w:t>
      </w:r>
      <w:r w:rsidR="00D25850" w:rsidRPr="00D25850">
        <w:rPr>
          <w:vertAlign w:val="superscript"/>
          <w:lang w:val="fr-FR"/>
        </w:rPr>
        <w:t>r</w:t>
      </w:r>
      <w:r w:rsidR="00275E2B">
        <w:rPr>
          <w:lang w:val="fr-FR"/>
        </w:rPr>
        <w:t xml:space="preserve"> G.</w:t>
      </w:r>
      <w:r w:rsidR="00A86DBC">
        <w:rPr>
          <w:lang w:val="fr-FR"/>
        </w:rPr>
        <w:t>,</w:t>
      </w:r>
      <w:r w:rsidR="00275E2B">
        <w:rPr>
          <w:lang w:val="fr-FR"/>
        </w:rPr>
        <w:t xml:space="preserve"> du</w:t>
      </w:r>
      <w:r w:rsidR="00D25850" w:rsidRPr="00D25850">
        <w:rPr>
          <w:lang w:val="fr-FR"/>
        </w:rPr>
        <w:t xml:space="preserve"> 21 octobre 2010 conclut ainsi :</w:t>
      </w:r>
    </w:p>
    <w:p w:rsidR="00D25850" w:rsidRPr="005A6B8A" w:rsidRDefault="00EA4DEF" w:rsidP="00EA4DEF">
      <w:pPr>
        <w:pStyle w:val="ECHRParaQuote"/>
        <w:rPr>
          <w:lang w:val="fr-FR"/>
        </w:rPr>
      </w:pPr>
      <w:r w:rsidRPr="005A6B8A">
        <w:rPr>
          <w:lang w:val="fr-FR"/>
        </w:rPr>
        <w:t>« </w:t>
      </w:r>
      <w:r w:rsidR="00D25850" w:rsidRPr="005A6B8A">
        <w:rPr>
          <w:lang w:val="fr-FR"/>
        </w:rPr>
        <w:t>(...) Monsieur Mohammed Helhal présente une paraplégie incomplète avec une incontinence urinaire efficace totale nécessitant des autos-sondages et le port de couches jour et nuit. Par ailleurs, il présente des anomalies hémorroïdaires importantes pour lesquelles il a refusé toute intervention.</w:t>
      </w:r>
    </w:p>
    <w:p w:rsidR="00D25850" w:rsidRPr="005A6B8A" w:rsidRDefault="00D25850" w:rsidP="00EA4DEF">
      <w:pPr>
        <w:pStyle w:val="ECHRParaQuote"/>
        <w:rPr>
          <w:lang w:val="fr-FR"/>
        </w:rPr>
      </w:pPr>
      <w:r w:rsidRPr="005A6B8A">
        <w:rPr>
          <w:lang w:val="fr-FR"/>
        </w:rPr>
        <w:t>Actuellement, Monsieur Mohammed Helhal présente un état musculaire avec décontraction active au niveau des deux membres inférieurs pour lequel une kinésithérapie pluri hebdomadaire doit être pratiquée de façon régulière et longue.</w:t>
      </w:r>
    </w:p>
    <w:p w:rsidR="00D25850" w:rsidRPr="005A6B8A" w:rsidRDefault="00D25850" w:rsidP="00EA4DEF">
      <w:pPr>
        <w:pStyle w:val="ECHRParaQuote"/>
        <w:rPr>
          <w:lang w:val="fr-FR"/>
        </w:rPr>
      </w:pPr>
      <w:r w:rsidRPr="005A6B8A">
        <w:rPr>
          <w:lang w:val="fr-FR"/>
        </w:rPr>
        <w:t>Dans ces conditions, Monsieur Mohammed Helhal présente un état de santé qui ne contre indique pas l</w:t>
      </w:r>
      <w:r w:rsidR="005A6B8A">
        <w:rPr>
          <w:lang w:val="fr-FR"/>
        </w:rPr>
        <w:t>’</w:t>
      </w:r>
      <w:r w:rsidRPr="005A6B8A">
        <w:rPr>
          <w:lang w:val="fr-FR"/>
        </w:rPr>
        <w:t>incarcération sous réserve expresse d</w:t>
      </w:r>
      <w:r w:rsidR="005A6B8A">
        <w:rPr>
          <w:lang w:val="fr-FR"/>
        </w:rPr>
        <w:t>’</w:t>
      </w:r>
      <w:r w:rsidRPr="005A6B8A">
        <w:rPr>
          <w:lang w:val="fr-FR"/>
        </w:rPr>
        <w:t>un établissement adapté à son handicap lui permettant de pratiquer de la kinésithérapie régulière et un accès adapté à une salle de sport. »</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10</w:t>
      </w:r>
      <w:r>
        <w:rPr>
          <w:lang w:val="fr-FR"/>
        </w:rPr>
        <w:fldChar w:fldCharType="end"/>
      </w:r>
      <w:r>
        <w:rPr>
          <w:lang w:val="fr-FR"/>
        </w:rPr>
        <w:t>.  </w:t>
      </w:r>
      <w:r w:rsidR="00D25850" w:rsidRPr="00D25850">
        <w:rPr>
          <w:lang w:val="fr-FR"/>
        </w:rPr>
        <w:t>Le rapport d</w:t>
      </w:r>
      <w:r w:rsidR="005A6B8A">
        <w:rPr>
          <w:lang w:val="fr-FR"/>
        </w:rPr>
        <w:t>’</w:t>
      </w:r>
      <w:r w:rsidR="00D25850" w:rsidRPr="00D25850">
        <w:rPr>
          <w:lang w:val="fr-FR"/>
        </w:rPr>
        <w:t>expertise du D</w:t>
      </w:r>
      <w:r w:rsidR="00D25850" w:rsidRPr="00D25850">
        <w:rPr>
          <w:vertAlign w:val="superscript"/>
          <w:lang w:val="fr-FR"/>
        </w:rPr>
        <w:t xml:space="preserve">r </w:t>
      </w:r>
      <w:r w:rsidR="00D25850" w:rsidRPr="00D25850">
        <w:rPr>
          <w:lang w:val="fr-FR"/>
        </w:rPr>
        <w:t>R. fut établi le 28 oc</w:t>
      </w:r>
      <w:r w:rsidR="00275E2B">
        <w:rPr>
          <w:lang w:val="fr-FR"/>
        </w:rPr>
        <w:t xml:space="preserve">tobre 2010. Il est ainsi rédigé </w:t>
      </w:r>
      <w:r w:rsidR="00D25850" w:rsidRPr="00D25850">
        <w:rPr>
          <w:lang w:val="fr-FR"/>
        </w:rPr>
        <w:t>:</w:t>
      </w:r>
    </w:p>
    <w:p w:rsidR="00D3388C" w:rsidRPr="005A6B8A" w:rsidRDefault="00D25850" w:rsidP="00EA4DEF">
      <w:pPr>
        <w:pStyle w:val="ECHRParaQuote"/>
        <w:rPr>
          <w:lang w:val="fr-FR"/>
        </w:rPr>
      </w:pPr>
      <w:r w:rsidRPr="005A6B8A">
        <w:rPr>
          <w:lang w:val="fr-FR"/>
        </w:rPr>
        <w:t>« (...)</w:t>
      </w:r>
      <w:r w:rsidR="00D3388C" w:rsidRPr="005A6B8A">
        <w:rPr>
          <w:lang w:val="fr-FR"/>
        </w:rPr>
        <w:t xml:space="preserve"> Le 17/11/2009 (</w:t>
      </w:r>
      <w:r w:rsidR="00EA4DEF" w:rsidRPr="005A6B8A">
        <w:rPr>
          <w:lang w:val="fr-FR"/>
        </w:rPr>
        <w:t>...</w:t>
      </w:r>
      <w:r w:rsidR="00D3388C" w:rsidRPr="005A6B8A">
        <w:rPr>
          <w:lang w:val="fr-FR"/>
        </w:rPr>
        <w:t>) le docteur Dubois indique : (</w:t>
      </w:r>
      <w:r w:rsidR="00EA4DEF" w:rsidRPr="005A6B8A">
        <w:rPr>
          <w:lang w:val="fr-FR"/>
        </w:rPr>
        <w:t>...</w:t>
      </w:r>
      <w:r w:rsidR="00D3388C" w:rsidRPr="005A6B8A">
        <w:rPr>
          <w:lang w:val="fr-FR"/>
        </w:rPr>
        <w:t>) « son état de santé nécessite une prise en charge par un kinésithérapeute en milieu spécialisé et une prévention d</w:t>
      </w:r>
      <w:r w:rsidR="005A6B8A">
        <w:rPr>
          <w:lang w:val="fr-FR"/>
        </w:rPr>
        <w:t>’</w:t>
      </w:r>
      <w:r w:rsidR="00D3388C" w:rsidRPr="005A6B8A">
        <w:rPr>
          <w:lang w:val="fr-FR"/>
        </w:rPr>
        <w:t>escarres quotidienne ». (</w:t>
      </w:r>
      <w:r w:rsidR="00EA4DEF" w:rsidRPr="005A6B8A">
        <w:rPr>
          <w:lang w:val="fr-FR"/>
        </w:rPr>
        <w:t>...</w:t>
      </w:r>
      <w:r w:rsidR="00D3388C" w:rsidRPr="005A6B8A">
        <w:rPr>
          <w:lang w:val="fr-FR"/>
        </w:rPr>
        <w:t>)</w:t>
      </w:r>
    </w:p>
    <w:p w:rsidR="00843C63" w:rsidRPr="005A6B8A" w:rsidRDefault="00843C63" w:rsidP="00EA4DEF">
      <w:pPr>
        <w:pStyle w:val="ECHRParaQuote"/>
        <w:rPr>
          <w:lang w:val="fr-FR"/>
        </w:rPr>
      </w:pPr>
      <w:r w:rsidRPr="005A6B8A">
        <w:rPr>
          <w:lang w:val="fr-FR"/>
        </w:rPr>
        <w:t>Le dernier bilan au CHU de Bordeaux, au cours d</w:t>
      </w:r>
      <w:r w:rsidR="005A6B8A">
        <w:rPr>
          <w:lang w:val="fr-FR"/>
        </w:rPr>
        <w:t>’</w:t>
      </w:r>
      <w:r w:rsidRPr="005A6B8A">
        <w:rPr>
          <w:lang w:val="fr-FR"/>
        </w:rPr>
        <w:t>une hospitalisation du 5 au 12 mars 2010, confirme l</w:t>
      </w:r>
      <w:r w:rsidR="005A6B8A">
        <w:rPr>
          <w:lang w:val="fr-FR"/>
        </w:rPr>
        <w:t>’</w:t>
      </w:r>
      <w:r w:rsidRPr="005A6B8A">
        <w:rPr>
          <w:lang w:val="fr-FR"/>
        </w:rPr>
        <w:t>existence de cette bonne récupération sensitivo-motrice des membres inférieurs, la possibilité de se déplacer avec deux cannes et un soutien alors que le patient déambule essentiellement en fauteuil roulant.</w:t>
      </w:r>
    </w:p>
    <w:p w:rsidR="00D25850" w:rsidRPr="005A6B8A" w:rsidRDefault="00E13CD0" w:rsidP="00EA4DEF">
      <w:pPr>
        <w:pStyle w:val="ECHRParaQuote"/>
        <w:rPr>
          <w:lang w:val="fr-FR"/>
        </w:rPr>
      </w:pPr>
      <w:r w:rsidRPr="005A6B8A">
        <w:rPr>
          <w:lang w:val="fr-FR"/>
        </w:rPr>
        <w:t>À</w:t>
      </w:r>
      <w:r w:rsidR="00D25850" w:rsidRPr="005A6B8A">
        <w:rPr>
          <w:lang w:val="fr-FR"/>
        </w:rPr>
        <w:t xml:space="preserve"> l</w:t>
      </w:r>
      <w:r w:rsidR="005A6B8A">
        <w:rPr>
          <w:lang w:val="fr-FR"/>
        </w:rPr>
        <w:t>’</w:t>
      </w:r>
      <w:r w:rsidR="00D25850" w:rsidRPr="005A6B8A">
        <w:rPr>
          <w:lang w:val="fr-FR"/>
        </w:rPr>
        <w:t>évidence, une prise en charge kinésithérapique adaptée tant sur le plan articulaire que musculaire permettrait la possibilité au détenu de pouvoir assurer ses transferts avec un soutien technique, ce qui aurait pour avantage aussi de résoudre les complications au niveau des points de pression. En parallèle, avec cette pathologie séquellaire post-traumatique d</w:t>
      </w:r>
      <w:r w:rsidR="005A6B8A">
        <w:rPr>
          <w:lang w:val="fr-FR"/>
        </w:rPr>
        <w:t>’</w:t>
      </w:r>
      <w:r w:rsidR="00D25850" w:rsidRPr="005A6B8A">
        <w:rPr>
          <w:lang w:val="fr-FR"/>
        </w:rPr>
        <w:t>évolution favorable, le patient présente une pathologie anale séquellaire d</w:t>
      </w:r>
      <w:r w:rsidR="005A6B8A">
        <w:rPr>
          <w:lang w:val="fr-FR"/>
        </w:rPr>
        <w:t>’</w:t>
      </w:r>
      <w:r w:rsidR="00D25850" w:rsidRPr="005A6B8A">
        <w:rPr>
          <w:lang w:val="fr-FR"/>
        </w:rPr>
        <w:t>une chirurgie hémorroïdaire gênante essentiellement sur le plan fonctionnel.</w:t>
      </w:r>
    </w:p>
    <w:p w:rsidR="00D25850" w:rsidRPr="005A6B8A" w:rsidRDefault="00D25850" w:rsidP="00EA4DEF">
      <w:pPr>
        <w:pStyle w:val="ECHRParaQuote"/>
        <w:rPr>
          <w:lang w:val="fr-FR"/>
        </w:rPr>
      </w:pPr>
      <w:r w:rsidRPr="005A6B8A">
        <w:rPr>
          <w:lang w:val="fr-FR"/>
        </w:rPr>
        <w:t>Conclusion</w:t>
      </w:r>
    </w:p>
    <w:p w:rsidR="00D25850" w:rsidRPr="005A6B8A" w:rsidRDefault="00D25850" w:rsidP="00EA4DEF">
      <w:pPr>
        <w:pStyle w:val="ECHRParaQuote"/>
        <w:rPr>
          <w:lang w:val="fr-FR"/>
        </w:rPr>
      </w:pPr>
      <w:r w:rsidRPr="005A6B8A">
        <w:rPr>
          <w:lang w:val="fr-FR"/>
        </w:rPr>
        <w:t>(...)</w:t>
      </w:r>
    </w:p>
    <w:p w:rsidR="00D25850" w:rsidRPr="005A6B8A" w:rsidRDefault="00D25850" w:rsidP="00EA4DEF">
      <w:pPr>
        <w:pStyle w:val="ECHRParaQuote"/>
        <w:rPr>
          <w:lang w:val="fr-FR"/>
        </w:rPr>
      </w:pPr>
      <w:r w:rsidRPr="005A6B8A">
        <w:rPr>
          <w:lang w:val="fr-FR"/>
        </w:rPr>
        <w:t>-  Le détenu présente des séquelles sensitivo-motrices d</w:t>
      </w:r>
      <w:r w:rsidR="005A6B8A">
        <w:rPr>
          <w:lang w:val="fr-FR"/>
        </w:rPr>
        <w:t>’</w:t>
      </w:r>
      <w:r w:rsidRPr="005A6B8A">
        <w:rPr>
          <w:lang w:val="fr-FR"/>
        </w:rPr>
        <w:t>une fracture rachidienne dorso-lombaire ;</w:t>
      </w:r>
    </w:p>
    <w:p w:rsidR="00D25850" w:rsidRPr="005A6B8A" w:rsidRDefault="00D25850" w:rsidP="00EA4DEF">
      <w:pPr>
        <w:pStyle w:val="ECHRParaQuote"/>
        <w:rPr>
          <w:lang w:val="fr-FR"/>
        </w:rPr>
      </w:pPr>
      <w:r w:rsidRPr="005A6B8A">
        <w:rPr>
          <w:lang w:val="fr-FR"/>
        </w:rPr>
        <w:t>-  Ces séquelles sont stables avec une récupération évidente de la motricité des membres inférieurs ;</w:t>
      </w:r>
    </w:p>
    <w:p w:rsidR="00D25850" w:rsidRPr="005A6B8A" w:rsidRDefault="00D25850" w:rsidP="00EA4DEF">
      <w:pPr>
        <w:pStyle w:val="ECHRParaQuote"/>
        <w:rPr>
          <w:lang w:val="fr-FR"/>
        </w:rPr>
      </w:pPr>
      <w:r w:rsidRPr="005A6B8A">
        <w:rPr>
          <w:lang w:val="fr-FR"/>
        </w:rPr>
        <w:t>-  Une prise en charge kinésithérapique serait justifiée au quotidien pour améliorer la motricité des membres inférieurs et la qualité des transferts, ce qui n</w:t>
      </w:r>
      <w:r w:rsidR="005A6B8A">
        <w:rPr>
          <w:lang w:val="fr-FR"/>
        </w:rPr>
        <w:t>’</w:t>
      </w:r>
      <w:r w:rsidRPr="005A6B8A">
        <w:rPr>
          <w:lang w:val="fr-FR"/>
        </w:rPr>
        <w:t>est pas possible au centre de détention d</w:t>
      </w:r>
      <w:r w:rsidR="005A6B8A">
        <w:rPr>
          <w:lang w:val="fr-FR"/>
        </w:rPr>
        <w:t>’</w:t>
      </w:r>
      <w:r w:rsidRPr="005A6B8A">
        <w:rPr>
          <w:lang w:val="fr-FR"/>
        </w:rPr>
        <w:t>Uzerche, dès lors qu</w:t>
      </w:r>
      <w:r w:rsidR="005A6B8A">
        <w:rPr>
          <w:lang w:val="fr-FR"/>
        </w:rPr>
        <w:t>’</w:t>
      </w:r>
      <w:r w:rsidRPr="005A6B8A">
        <w:rPr>
          <w:lang w:val="fr-FR"/>
        </w:rPr>
        <w:t>il n</w:t>
      </w:r>
      <w:r w:rsidR="005A6B8A">
        <w:rPr>
          <w:lang w:val="fr-FR"/>
        </w:rPr>
        <w:t>’</w:t>
      </w:r>
      <w:r w:rsidRPr="005A6B8A">
        <w:rPr>
          <w:lang w:val="fr-FR"/>
        </w:rPr>
        <w:t>y a pas d</w:t>
      </w:r>
      <w:r w:rsidR="005A6B8A">
        <w:rPr>
          <w:lang w:val="fr-FR"/>
        </w:rPr>
        <w:t>’</w:t>
      </w:r>
      <w:r w:rsidRPr="005A6B8A">
        <w:rPr>
          <w:lang w:val="fr-FR"/>
        </w:rPr>
        <w:t>intervenant kinésithérapeute ;</w:t>
      </w:r>
    </w:p>
    <w:p w:rsidR="00D25850" w:rsidRPr="005A6B8A" w:rsidRDefault="00D25850" w:rsidP="00EA4DEF">
      <w:pPr>
        <w:pStyle w:val="ECHRParaQuote"/>
        <w:rPr>
          <w:lang w:val="fr-FR"/>
        </w:rPr>
      </w:pPr>
      <w:r w:rsidRPr="005A6B8A">
        <w:rPr>
          <w:lang w:val="fr-FR"/>
        </w:rPr>
        <w:t>-  </w:t>
      </w:r>
      <w:r w:rsidR="00E13CD0" w:rsidRPr="005A6B8A">
        <w:rPr>
          <w:lang w:val="fr-FR"/>
        </w:rPr>
        <w:t>À</w:t>
      </w:r>
      <w:r w:rsidRPr="005A6B8A">
        <w:rPr>
          <w:lang w:val="fr-FR"/>
        </w:rPr>
        <w:t xml:space="preserve"> titre définitif, il persiste des séquelles sensitives dans le territoire L5-S1 nécessitant des auto-sondages dont la gestion au quotidien se fait correctement par le détenu ;</w:t>
      </w:r>
    </w:p>
    <w:p w:rsidR="00D25850" w:rsidRPr="005A6B8A" w:rsidRDefault="00D25850" w:rsidP="00EA4DEF">
      <w:pPr>
        <w:pStyle w:val="ECHRParaQuote"/>
        <w:rPr>
          <w:lang w:val="fr-FR"/>
        </w:rPr>
      </w:pPr>
      <w:r w:rsidRPr="005A6B8A">
        <w:rPr>
          <w:lang w:val="fr-FR"/>
        </w:rPr>
        <w:t>-  L</w:t>
      </w:r>
      <w:r w:rsidR="005A6B8A">
        <w:rPr>
          <w:lang w:val="fr-FR"/>
        </w:rPr>
        <w:t>’</w:t>
      </w:r>
      <w:r w:rsidRPr="005A6B8A">
        <w:rPr>
          <w:lang w:val="fr-FR"/>
        </w:rPr>
        <w:t>ensemble de ces séquelles rachidiennes actuellement stables ne sont pas susceptibles de s</w:t>
      </w:r>
      <w:r w:rsidR="005A6B8A">
        <w:rPr>
          <w:lang w:val="fr-FR"/>
        </w:rPr>
        <w:t>’</w:t>
      </w:r>
      <w:r w:rsidRPr="005A6B8A">
        <w:rPr>
          <w:lang w:val="fr-FR"/>
        </w:rPr>
        <w:t>aggraver mais pourraient évoluer, avec une bonne prise en charge, vers une amélioration ;</w:t>
      </w:r>
    </w:p>
    <w:p w:rsidR="00D25850" w:rsidRPr="005A6B8A" w:rsidRDefault="00D25850" w:rsidP="00EA4DEF">
      <w:pPr>
        <w:pStyle w:val="ECHRParaQuote"/>
        <w:rPr>
          <w:lang w:val="fr-FR"/>
        </w:rPr>
      </w:pPr>
      <w:r w:rsidRPr="005A6B8A">
        <w:rPr>
          <w:lang w:val="fr-FR"/>
        </w:rPr>
        <w:t>-  L</w:t>
      </w:r>
      <w:r w:rsidR="005A6B8A">
        <w:rPr>
          <w:lang w:val="fr-FR"/>
        </w:rPr>
        <w:t>’</w:t>
      </w:r>
      <w:r w:rsidRPr="005A6B8A">
        <w:rPr>
          <w:lang w:val="fr-FR"/>
        </w:rPr>
        <w:t>ensemble des pathologies séquellaires, tant au niveau traumatique rachidien que anal, n</w:t>
      </w:r>
      <w:r w:rsidR="005A6B8A">
        <w:rPr>
          <w:lang w:val="fr-FR"/>
        </w:rPr>
        <w:t>’</w:t>
      </w:r>
      <w:r w:rsidRPr="005A6B8A">
        <w:rPr>
          <w:lang w:val="fr-FR"/>
        </w:rPr>
        <w:t>engage pas le pronostic vital du condamné ;</w:t>
      </w:r>
    </w:p>
    <w:p w:rsidR="00D25850" w:rsidRPr="005A6B8A" w:rsidRDefault="00D25850" w:rsidP="00EA4DEF">
      <w:pPr>
        <w:pStyle w:val="ECHRParaQuote"/>
        <w:rPr>
          <w:lang w:val="fr-FR"/>
        </w:rPr>
      </w:pPr>
      <w:r w:rsidRPr="005A6B8A">
        <w:rPr>
          <w:lang w:val="fr-FR"/>
        </w:rPr>
        <w:t>-  L</w:t>
      </w:r>
      <w:r w:rsidR="005A6B8A">
        <w:rPr>
          <w:lang w:val="fr-FR"/>
        </w:rPr>
        <w:t>’</w:t>
      </w:r>
      <w:r w:rsidRPr="005A6B8A">
        <w:rPr>
          <w:lang w:val="fr-FR"/>
        </w:rPr>
        <w:t>état de santé du condamné n</w:t>
      </w:r>
      <w:r w:rsidR="005A6B8A">
        <w:rPr>
          <w:lang w:val="fr-FR"/>
        </w:rPr>
        <w:t>’</w:t>
      </w:r>
      <w:r w:rsidRPr="005A6B8A">
        <w:rPr>
          <w:lang w:val="fr-FR"/>
        </w:rPr>
        <w:t>est pas, à mon sens, durablement incompatible avec le maintien en détention ;</w:t>
      </w:r>
    </w:p>
    <w:p w:rsidR="00D25850" w:rsidRPr="005A6B8A" w:rsidRDefault="00D25850" w:rsidP="00EA4DEF">
      <w:pPr>
        <w:pStyle w:val="ECHRParaQuote"/>
        <w:rPr>
          <w:lang w:val="fr-FR"/>
        </w:rPr>
      </w:pPr>
      <w:r w:rsidRPr="005A6B8A">
        <w:rPr>
          <w:lang w:val="fr-FR"/>
        </w:rPr>
        <w:t>-  Les pathologies constatées actuellement sont stables et continueront à évoluer de façon chronique, justifiant des soins palliatifs.</w:t>
      </w:r>
      <w:r w:rsidR="00FF245C" w:rsidRPr="005A6B8A">
        <w:rPr>
          <w:lang w:val="fr-FR"/>
        </w:rPr>
        <w:t> »</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11</w:t>
      </w:r>
      <w:r>
        <w:rPr>
          <w:lang w:val="fr-FR"/>
        </w:rPr>
        <w:fldChar w:fldCharType="end"/>
      </w:r>
      <w:r>
        <w:rPr>
          <w:lang w:val="fr-FR"/>
        </w:rPr>
        <w:t>.  </w:t>
      </w:r>
      <w:r w:rsidR="00D25850" w:rsidRPr="00D25850">
        <w:rPr>
          <w:lang w:val="fr-FR"/>
        </w:rPr>
        <w:t>Par un jugement du 3 février 2011, le tribunal de l</w:t>
      </w:r>
      <w:r w:rsidR="005A6B8A">
        <w:rPr>
          <w:lang w:val="fr-FR"/>
        </w:rPr>
        <w:t>’</w:t>
      </w:r>
      <w:r w:rsidR="00D25850" w:rsidRPr="00D25850">
        <w:rPr>
          <w:lang w:val="fr-FR"/>
        </w:rPr>
        <w:t>application des peines de Limoges rejeta la demande de suspension de peine. Il prit en compte les deux expertises médicales concordantes pour considérer que l</w:t>
      </w:r>
      <w:r w:rsidR="005A6B8A">
        <w:rPr>
          <w:lang w:val="fr-FR"/>
        </w:rPr>
        <w:t>’</w:t>
      </w:r>
      <w:r w:rsidR="00D25850" w:rsidRPr="00D25850">
        <w:rPr>
          <w:lang w:val="fr-FR"/>
        </w:rPr>
        <w:t>état de santé du re</w:t>
      </w:r>
      <w:r w:rsidR="00E5584D">
        <w:rPr>
          <w:lang w:val="fr-FR"/>
        </w:rPr>
        <w:t xml:space="preserve">quérant </w:t>
      </w:r>
      <w:r w:rsidR="00FF245C">
        <w:rPr>
          <w:lang w:val="fr-FR"/>
        </w:rPr>
        <w:t>était</w:t>
      </w:r>
      <w:r w:rsidR="00D25850" w:rsidRPr="00D25850">
        <w:rPr>
          <w:lang w:val="fr-FR"/>
        </w:rPr>
        <w:t xml:space="preserve"> durablement compatible avec son incarcération. En revanche, le tribunal observa que « le centre de détention d</w:t>
      </w:r>
      <w:r w:rsidR="005A6B8A">
        <w:rPr>
          <w:lang w:val="fr-FR"/>
        </w:rPr>
        <w:t>’</w:t>
      </w:r>
      <w:r w:rsidR="00D25850" w:rsidRPr="00D25850">
        <w:rPr>
          <w:lang w:val="fr-FR"/>
        </w:rPr>
        <w:t>Uzerche ne correspond manifestement pas aux critères requis pour un régime de détention du requérant, tant sur le plan des loca</w:t>
      </w:r>
      <w:r w:rsidR="00250D38">
        <w:rPr>
          <w:lang w:val="fr-FR"/>
        </w:rPr>
        <w:t xml:space="preserve">ux que sur celui des soins para </w:t>
      </w:r>
      <w:r w:rsidR="00D25850" w:rsidRPr="00D25850">
        <w:rPr>
          <w:lang w:val="fr-FR"/>
        </w:rPr>
        <w:t>médicaux et ce malgré la mise en place non contestée par les responsables et les intervenants de ce centre pour faciliter au mieux des possibilités les conditions de vie du condamné ». Il fit alors valoir qu</w:t>
      </w:r>
      <w:r w:rsidR="005A6B8A">
        <w:rPr>
          <w:lang w:val="fr-FR"/>
        </w:rPr>
        <w:t>’</w:t>
      </w:r>
      <w:r w:rsidR="00D25850" w:rsidRPr="00D25850">
        <w:rPr>
          <w:lang w:val="fr-FR"/>
        </w:rPr>
        <w:t>il existait des établissements pénitentiaires adaptés à l</w:t>
      </w:r>
      <w:r w:rsidR="005A6B8A">
        <w:rPr>
          <w:lang w:val="fr-FR"/>
        </w:rPr>
        <w:t>’</w:t>
      </w:r>
      <w:r w:rsidR="00D25850" w:rsidRPr="00D25850">
        <w:rPr>
          <w:lang w:val="fr-FR"/>
        </w:rPr>
        <w:t>état de santé du requérant comme celui de Fresnes ou celui de Roanne « dont la conception et l</w:t>
      </w:r>
      <w:r w:rsidR="005A6B8A">
        <w:rPr>
          <w:lang w:val="fr-FR"/>
        </w:rPr>
        <w:t>’</w:t>
      </w:r>
      <w:r w:rsidR="00D25850" w:rsidRPr="00D25850">
        <w:rPr>
          <w:lang w:val="fr-FR"/>
        </w:rPr>
        <w:t>organisation est compatible avec l</w:t>
      </w:r>
      <w:r w:rsidR="005A6B8A">
        <w:rPr>
          <w:lang w:val="fr-FR"/>
        </w:rPr>
        <w:t>’</w:t>
      </w:r>
      <w:r w:rsidR="00D25850" w:rsidRPr="00D25850">
        <w:rPr>
          <w:lang w:val="fr-FR"/>
        </w:rPr>
        <w:t xml:space="preserve">accueil des personnes handicapées et où </w:t>
      </w:r>
      <w:r w:rsidR="00E5584D">
        <w:rPr>
          <w:lang w:val="fr-FR"/>
        </w:rPr>
        <w:t xml:space="preserve">[il] </w:t>
      </w:r>
      <w:r w:rsidR="00D25850" w:rsidRPr="00D25850">
        <w:rPr>
          <w:lang w:val="fr-FR"/>
        </w:rPr>
        <w:t>pourra suivre régulièrement les séances de kinésithérapie qu</w:t>
      </w:r>
      <w:r w:rsidR="005A6B8A">
        <w:rPr>
          <w:lang w:val="fr-FR"/>
        </w:rPr>
        <w:t>’</w:t>
      </w:r>
      <w:r w:rsidR="00D25850" w:rsidRPr="00D25850">
        <w:rPr>
          <w:lang w:val="fr-FR"/>
        </w:rPr>
        <w:t>il réclame à juste titre puisqu</w:t>
      </w:r>
      <w:r w:rsidR="005A6B8A">
        <w:rPr>
          <w:lang w:val="fr-FR"/>
        </w:rPr>
        <w:t>’</w:t>
      </w:r>
      <w:r w:rsidR="00D25850" w:rsidRPr="00D25850">
        <w:rPr>
          <w:lang w:val="fr-FR"/>
        </w:rPr>
        <w:t>un masseur-kinésithérapeute intervient quasiment tous les jours au sein de cet établissement pénitentiaire ». Le tribunal conclut ainsi :</w:t>
      </w:r>
    </w:p>
    <w:p w:rsidR="00D25850" w:rsidRPr="005A6B8A" w:rsidRDefault="00D25850" w:rsidP="00EA4DEF">
      <w:pPr>
        <w:pStyle w:val="ECHRParaQuote"/>
        <w:rPr>
          <w:lang w:val="fr-FR"/>
        </w:rPr>
      </w:pPr>
      <w:r w:rsidRPr="005A6B8A">
        <w:rPr>
          <w:lang w:val="fr-FR"/>
        </w:rPr>
        <w:t>« Il ressort donc de cet ensemble d</w:t>
      </w:r>
      <w:r w:rsidR="005A6B8A">
        <w:rPr>
          <w:lang w:val="fr-FR"/>
        </w:rPr>
        <w:t>’</w:t>
      </w:r>
      <w:r w:rsidRPr="005A6B8A">
        <w:rPr>
          <w:lang w:val="fr-FR"/>
        </w:rPr>
        <w:t>éléments tant médicaux que d</w:t>
      </w:r>
      <w:r w:rsidR="005A6B8A">
        <w:rPr>
          <w:lang w:val="fr-FR"/>
        </w:rPr>
        <w:t>’</w:t>
      </w:r>
      <w:r w:rsidRPr="005A6B8A">
        <w:rPr>
          <w:lang w:val="fr-FR"/>
        </w:rPr>
        <w:t>organisation des conditions d</w:t>
      </w:r>
      <w:r w:rsidR="005A6B8A">
        <w:rPr>
          <w:lang w:val="fr-FR"/>
        </w:rPr>
        <w:t>’</w:t>
      </w:r>
      <w:r w:rsidRPr="005A6B8A">
        <w:rPr>
          <w:lang w:val="fr-FR"/>
        </w:rPr>
        <w:t>incarcération envisageables et adaptées que le condamné ne remplit pas les conditions lui permettant de bénéficier d</w:t>
      </w:r>
      <w:r w:rsidR="005A6B8A">
        <w:rPr>
          <w:lang w:val="fr-FR"/>
        </w:rPr>
        <w:t>’</w:t>
      </w:r>
      <w:r w:rsidRPr="005A6B8A">
        <w:rPr>
          <w:lang w:val="fr-FR"/>
        </w:rPr>
        <w:t xml:space="preserve">une mesure de suspension </w:t>
      </w:r>
      <w:r w:rsidR="00EA4DEF" w:rsidRPr="005A6B8A">
        <w:rPr>
          <w:lang w:val="fr-FR"/>
        </w:rPr>
        <w:t>de peine pour raison médicale. »</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12</w:t>
      </w:r>
      <w:r>
        <w:rPr>
          <w:lang w:val="fr-FR"/>
        </w:rPr>
        <w:fldChar w:fldCharType="end"/>
      </w:r>
      <w:r>
        <w:rPr>
          <w:lang w:val="fr-FR"/>
        </w:rPr>
        <w:t>.  </w:t>
      </w:r>
      <w:r w:rsidR="00D25850" w:rsidRPr="00D25850">
        <w:rPr>
          <w:lang w:val="fr-FR"/>
        </w:rPr>
        <w:t>Le requérant interjeta appel du jugement du 3 février 2011. Il réitéra qu</w:t>
      </w:r>
      <w:r w:rsidR="005A6B8A">
        <w:rPr>
          <w:lang w:val="fr-FR"/>
        </w:rPr>
        <w:t>’</w:t>
      </w:r>
      <w:r w:rsidR="00D25850" w:rsidRPr="00D25850">
        <w:rPr>
          <w:lang w:val="fr-FR"/>
        </w:rPr>
        <w:t>au-delà de l</w:t>
      </w:r>
      <w:r w:rsidR="005A6B8A">
        <w:rPr>
          <w:lang w:val="fr-FR"/>
        </w:rPr>
        <w:t>’</w:t>
      </w:r>
      <w:r w:rsidR="00D25850" w:rsidRPr="00D25850">
        <w:rPr>
          <w:lang w:val="fr-FR"/>
        </w:rPr>
        <w:t>inadaptation structurelle de l</w:t>
      </w:r>
      <w:r w:rsidR="005A6B8A">
        <w:rPr>
          <w:lang w:val="fr-FR"/>
        </w:rPr>
        <w:t>’</w:t>
      </w:r>
      <w:r w:rsidR="00D25850" w:rsidRPr="00D25850">
        <w:rPr>
          <w:lang w:val="fr-FR"/>
        </w:rPr>
        <w:t>établissement d</w:t>
      </w:r>
      <w:r w:rsidR="005A6B8A">
        <w:rPr>
          <w:lang w:val="fr-FR"/>
        </w:rPr>
        <w:t>’</w:t>
      </w:r>
      <w:r w:rsidR="00D25850" w:rsidRPr="00D25850">
        <w:rPr>
          <w:lang w:val="fr-FR"/>
        </w:rPr>
        <w:t xml:space="preserve">Uzerche, aucune adaptation en termes de soins médicaux et paramédicaux (kinésithérapie et accès à une salle de sport) ne lui </w:t>
      </w:r>
      <w:r w:rsidR="00250D38">
        <w:rPr>
          <w:lang w:val="fr-FR"/>
        </w:rPr>
        <w:t>était</w:t>
      </w:r>
      <w:r w:rsidR="00D25850" w:rsidRPr="00D25850">
        <w:rPr>
          <w:lang w:val="fr-FR"/>
        </w:rPr>
        <w:t xml:space="preserve"> proposée</w:t>
      </w:r>
      <w:r w:rsidR="00E5584D">
        <w:rPr>
          <w:lang w:val="fr-FR"/>
        </w:rPr>
        <w:t>.</w:t>
      </w:r>
      <w:r w:rsidR="00D25850" w:rsidRPr="00D25850">
        <w:rPr>
          <w:lang w:val="fr-FR"/>
        </w:rPr>
        <w:t xml:space="preserve"> Il fit </w:t>
      </w:r>
      <w:r w:rsidR="00E5584D">
        <w:rPr>
          <w:lang w:val="fr-FR"/>
        </w:rPr>
        <w:t>par ailleurs</w:t>
      </w:r>
      <w:r w:rsidR="00D25850" w:rsidRPr="00D25850">
        <w:rPr>
          <w:lang w:val="fr-FR"/>
        </w:rPr>
        <w:t xml:space="preserve"> valoir que le centre de Roanne n</w:t>
      </w:r>
      <w:r w:rsidR="005A6B8A">
        <w:rPr>
          <w:lang w:val="fr-FR"/>
        </w:rPr>
        <w:t>’</w:t>
      </w:r>
      <w:r w:rsidR="00D25850" w:rsidRPr="00D25850">
        <w:rPr>
          <w:lang w:val="fr-FR"/>
        </w:rPr>
        <w:t>était pas plus adapté</w:t>
      </w:r>
      <w:r w:rsidR="00250D38">
        <w:rPr>
          <w:lang w:val="fr-FR"/>
        </w:rPr>
        <w:t xml:space="preserve"> que celui d</w:t>
      </w:r>
      <w:r w:rsidR="005A6B8A">
        <w:rPr>
          <w:lang w:val="fr-FR"/>
        </w:rPr>
        <w:t>’</w:t>
      </w:r>
      <w:r w:rsidR="00250D38">
        <w:rPr>
          <w:lang w:val="fr-FR"/>
        </w:rPr>
        <w:t>Uzerche</w:t>
      </w:r>
      <w:r w:rsidR="00D25850" w:rsidRPr="00D25850">
        <w:rPr>
          <w:lang w:val="fr-FR"/>
        </w:rPr>
        <w:t xml:space="preserve"> car </w:t>
      </w:r>
      <w:r w:rsidR="00250D38">
        <w:rPr>
          <w:lang w:val="fr-FR"/>
        </w:rPr>
        <w:t xml:space="preserve">il </w:t>
      </w:r>
      <w:r w:rsidR="00D25850" w:rsidRPr="00D25850">
        <w:rPr>
          <w:lang w:val="fr-FR"/>
        </w:rPr>
        <w:t>ne comporta</w:t>
      </w:r>
      <w:r w:rsidR="00250D38">
        <w:rPr>
          <w:lang w:val="fr-FR"/>
        </w:rPr>
        <w:t>i</w:t>
      </w:r>
      <w:r w:rsidR="00D25850" w:rsidRPr="00D25850">
        <w:rPr>
          <w:lang w:val="fr-FR"/>
        </w:rPr>
        <w:t>t pas de structure de rééducation.</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13</w:t>
      </w:r>
      <w:r>
        <w:rPr>
          <w:lang w:val="fr-FR"/>
        </w:rPr>
        <w:fldChar w:fldCharType="end"/>
      </w:r>
      <w:r>
        <w:rPr>
          <w:lang w:val="fr-FR"/>
        </w:rPr>
        <w:t>.  </w:t>
      </w:r>
      <w:r w:rsidR="00D25850" w:rsidRPr="00D25850">
        <w:rPr>
          <w:lang w:val="fr-FR"/>
        </w:rPr>
        <w:t>Par un arrêt du 3 mai 2011, la chambre de l</w:t>
      </w:r>
      <w:r w:rsidR="005A6B8A">
        <w:rPr>
          <w:lang w:val="fr-FR"/>
        </w:rPr>
        <w:t>’</w:t>
      </w:r>
      <w:r w:rsidR="00D25850" w:rsidRPr="00D25850">
        <w:rPr>
          <w:lang w:val="fr-FR"/>
        </w:rPr>
        <w:t>application des peines de la cour d</w:t>
      </w:r>
      <w:r w:rsidR="005A6B8A">
        <w:rPr>
          <w:lang w:val="fr-FR"/>
        </w:rPr>
        <w:t>’</w:t>
      </w:r>
      <w:r w:rsidR="00D25850" w:rsidRPr="00D25850">
        <w:rPr>
          <w:lang w:val="fr-FR"/>
        </w:rPr>
        <w:t>appel de Limoges confirma le jugement du 3 février</w:t>
      </w:r>
      <w:r w:rsidR="00E5584D">
        <w:rPr>
          <w:lang w:val="fr-FR"/>
        </w:rPr>
        <w:t> :</w:t>
      </w:r>
    </w:p>
    <w:p w:rsidR="00D25850" w:rsidRPr="005A6B8A" w:rsidRDefault="00D25850" w:rsidP="00EA4DEF">
      <w:pPr>
        <w:pStyle w:val="ECHRParaQuote"/>
        <w:rPr>
          <w:lang w:val="fr-FR"/>
        </w:rPr>
      </w:pPr>
      <w:r w:rsidRPr="005A6B8A">
        <w:rPr>
          <w:lang w:val="fr-FR"/>
        </w:rPr>
        <w:t>« Attendu que les deux experts concluent de manière concordante que l</w:t>
      </w:r>
      <w:r w:rsidR="005A6B8A">
        <w:rPr>
          <w:lang w:val="fr-FR"/>
        </w:rPr>
        <w:t>’</w:t>
      </w:r>
      <w:r w:rsidRPr="005A6B8A">
        <w:rPr>
          <w:lang w:val="fr-FR"/>
        </w:rPr>
        <w:t>état de santé [du requérant] n</w:t>
      </w:r>
      <w:r w:rsidR="005A6B8A">
        <w:rPr>
          <w:lang w:val="fr-FR"/>
        </w:rPr>
        <w:t>’</w:t>
      </w:r>
      <w:r w:rsidRPr="005A6B8A">
        <w:rPr>
          <w:lang w:val="fr-FR"/>
        </w:rPr>
        <w:t>est pas durablement incompatible avec la détention sous réserve qu</w:t>
      </w:r>
      <w:r w:rsidR="005A6B8A">
        <w:rPr>
          <w:lang w:val="fr-FR"/>
        </w:rPr>
        <w:t>’</w:t>
      </w:r>
      <w:r w:rsidRPr="005A6B8A">
        <w:rPr>
          <w:lang w:val="fr-FR"/>
        </w:rPr>
        <w:t>il puisse bénéficier des soins kinésithérapiques et accéder à une salle de sport ; que si ces conditions ne peuvent effectivement être satisfaites au centre de détention d</w:t>
      </w:r>
      <w:r w:rsidR="005A6B8A">
        <w:rPr>
          <w:lang w:val="fr-FR"/>
        </w:rPr>
        <w:t>’</w:t>
      </w:r>
      <w:r w:rsidRPr="005A6B8A">
        <w:rPr>
          <w:lang w:val="fr-FR"/>
        </w:rPr>
        <w:t>Uzerche où [le requérant] a été transféré à sa demande dans le cadre d</w:t>
      </w:r>
      <w:r w:rsidR="005A6B8A">
        <w:rPr>
          <w:lang w:val="fr-FR"/>
        </w:rPr>
        <w:t>’</w:t>
      </w:r>
      <w:r w:rsidRPr="005A6B8A">
        <w:rPr>
          <w:lang w:val="fr-FR"/>
        </w:rPr>
        <w:t>un rapprochement familial, il n</w:t>
      </w:r>
      <w:r w:rsidR="005A6B8A">
        <w:rPr>
          <w:lang w:val="fr-FR"/>
        </w:rPr>
        <w:t>’</w:t>
      </w:r>
      <w:r w:rsidRPr="005A6B8A">
        <w:rPr>
          <w:lang w:val="fr-FR"/>
        </w:rPr>
        <w:t>est pas démontré qu</w:t>
      </w:r>
      <w:r w:rsidR="005A6B8A">
        <w:rPr>
          <w:lang w:val="fr-FR"/>
        </w:rPr>
        <w:t>’</w:t>
      </w:r>
      <w:r w:rsidRPr="005A6B8A">
        <w:rPr>
          <w:lang w:val="fr-FR"/>
        </w:rPr>
        <w:t>il ne puisse être accueilli dans des conditions adaptées à sa problématique au centre pénitentiaire de Roanne de sorte que les critères d</w:t>
      </w:r>
      <w:r w:rsidR="005A6B8A">
        <w:rPr>
          <w:lang w:val="fr-FR"/>
        </w:rPr>
        <w:t>’</w:t>
      </w:r>
      <w:r w:rsidRPr="005A6B8A">
        <w:rPr>
          <w:lang w:val="fr-FR"/>
        </w:rPr>
        <w:t>octroi d</w:t>
      </w:r>
      <w:r w:rsidR="005A6B8A">
        <w:rPr>
          <w:lang w:val="fr-FR"/>
        </w:rPr>
        <w:t>’</w:t>
      </w:r>
      <w:r w:rsidRPr="005A6B8A">
        <w:rPr>
          <w:lang w:val="fr-FR"/>
        </w:rPr>
        <w:t>une suspension de peine ne sont pas remplis et ce d</w:t>
      </w:r>
      <w:r w:rsidR="005A6B8A">
        <w:rPr>
          <w:lang w:val="fr-FR"/>
        </w:rPr>
        <w:t>’</w:t>
      </w:r>
      <w:r w:rsidRPr="005A6B8A">
        <w:rPr>
          <w:lang w:val="fr-FR"/>
        </w:rPr>
        <w:t>autant que [le requérant] est toujours ainsi qu</w:t>
      </w:r>
      <w:r w:rsidR="005A6B8A">
        <w:rPr>
          <w:lang w:val="fr-FR"/>
        </w:rPr>
        <w:t>’</w:t>
      </w:r>
      <w:r w:rsidRPr="005A6B8A">
        <w:rPr>
          <w:lang w:val="fr-FR"/>
        </w:rPr>
        <w:t>il l</w:t>
      </w:r>
      <w:r w:rsidR="005A6B8A">
        <w:rPr>
          <w:lang w:val="fr-FR"/>
        </w:rPr>
        <w:t>’</w:t>
      </w:r>
      <w:r w:rsidRPr="005A6B8A">
        <w:rPr>
          <w:lang w:val="fr-FR"/>
        </w:rPr>
        <w:t>écrit dans son courrier du 23 mars 2011, dans la contestation des faits criminels pour lesquels il a été condamné. »</w:t>
      </w:r>
    </w:p>
    <w:p w:rsidR="00D25850" w:rsidRP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14</w:t>
      </w:r>
      <w:r>
        <w:rPr>
          <w:lang w:val="fr-FR"/>
        </w:rPr>
        <w:fldChar w:fldCharType="end"/>
      </w:r>
      <w:r>
        <w:rPr>
          <w:lang w:val="fr-FR"/>
        </w:rPr>
        <w:t>.  </w:t>
      </w:r>
      <w:r w:rsidR="00D25850" w:rsidRPr="00D25850">
        <w:rPr>
          <w:lang w:val="fr-FR"/>
        </w:rPr>
        <w:t>Le requérant forma un pourvoi en cassation. Par un arrêt du 31 août 2011, la Cour de cassation déclara le pourvoi non admis.</w:t>
      </w:r>
    </w:p>
    <w:p w:rsidR="00D25850" w:rsidRDefault="009B3542" w:rsidP="00D2585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15</w:t>
      </w:r>
      <w:r>
        <w:rPr>
          <w:lang w:val="fr-FR"/>
        </w:rPr>
        <w:fldChar w:fldCharType="end"/>
      </w:r>
      <w:r>
        <w:rPr>
          <w:lang w:val="fr-FR"/>
        </w:rPr>
        <w:t>.  </w:t>
      </w:r>
      <w:r w:rsidR="00D25850" w:rsidRPr="00D25850">
        <w:rPr>
          <w:lang w:val="fr-FR"/>
        </w:rPr>
        <w:t>Par un courrier du 28 février 2012 adressé au greffe de la Cour, le requérant fit valoir qu</w:t>
      </w:r>
      <w:r w:rsidR="005A6B8A">
        <w:rPr>
          <w:lang w:val="fr-FR"/>
        </w:rPr>
        <w:t>’</w:t>
      </w:r>
      <w:r w:rsidR="00D25850" w:rsidRPr="00D25850">
        <w:rPr>
          <w:lang w:val="fr-FR"/>
        </w:rPr>
        <w:t>il ne bénéficiait pas de rééducation, en l</w:t>
      </w:r>
      <w:r w:rsidR="005A6B8A">
        <w:rPr>
          <w:lang w:val="fr-FR"/>
        </w:rPr>
        <w:t>’</w:t>
      </w:r>
      <w:r w:rsidR="00D25850" w:rsidRPr="00D25850">
        <w:rPr>
          <w:lang w:val="fr-FR"/>
        </w:rPr>
        <w:t>absence de kinésithérapeute dans le centre d</w:t>
      </w:r>
      <w:r w:rsidR="005A6B8A">
        <w:rPr>
          <w:lang w:val="fr-FR"/>
        </w:rPr>
        <w:t>’</w:t>
      </w:r>
      <w:r w:rsidR="00D25850" w:rsidRPr="00D25850">
        <w:rPr>
          <w:lang w:val="fr-FR"/>
        </w:rPr>
        <w:t>Uzerche, et qu</w:t>
      </w:r>
      <w:r w:rsidR="005A6B8A">
        <w:rPr>
          <w:lang w:val="fr-FR"/>
        </w:rPr>
        <w:t>’</w:t>
      </w:r>
      <w:r w:rsidR="00D25850" w:rsidRPr="00D25850">
        <w:rPr>
          <w:lang w:val="fr-FR"/>
        </w:rPr>
        <w:t>il ne pouvait pas accéder à la salle de sport. Il écrivit que sa santé se dégradait au quotidien et qu</w:t>
      </w:r>
      <w:r w:rsidR="005A6B8A">
        <w:rPr>
          <w:lang w:val="fr-FR"/>
        </w:rPr>
        <w:t>’</w:t>
      </w:r>
      <w:r w:rsidR="00D25850" w:rsidRPr="00D25850">
        <w:rPr>
          <w:lang w:val="fr-FR"/>
        </w:rPr>
        <w:t>il était victime de maltraitance en l</w:t>
      </w:r>
      <w:r w:rsidR="005A6B8A">
        <w:rPr>
          <w:lang w:val="fr-FR"/>
        </w:rPr>
        <w:t>’</w:t>
      </w:r>
      <w:r w:rsidR="00D25850" w:rsidRPr="00D25850">
        <w:rPr>
          <w:lang w:val="fr-FR"/>
        </w:rPr>
        <w:t>absence de soins.</w:t>
      </w:r>
    </w:p>
    <w:p w:rsidR="00B55685" w:rsidRDefault="00EA4DEF" w:rsidP="00041AAC">
      <w:pPr>
        <w:pStyle w:val="ECHRHeading2"/>
        <w:rPr>
          <w:lang w:val="fr-FR"/>
        </w:rPr>
      </w:pPr>
      <w:r>
        <w:rPr>
          <w:lang w:val="fr-FR"/>
        </w:rPr>
        <w:t>B.  </w:t>
      </w:r>
      <w:r w:rsidR="00E84F4C">
        <w:rPr>
          <w:lang w:val="fr-FR"/>
        </w:rPr>
        <w:t>Faits portés à la connaissance de la Cour</w:t>
      </w:r>
      <w:r w:rsidR="0022362B">
        <w:rPr>
          <w:lang w:val="fr-FR"/>
        </w:rPr>
        <w:t xml:space="preserve"> figurant dans les observations des parties des </w:t>
      </w:r>
      <w:r w:rsidR="00B55685">
        <w:rPr>
          <w:lang w:val="fr-FR"/>
        </w:rPr>
        <w:t>10</w:t>
      </w:r>
      <w:r w:rsidR="0024455B">
        <w:rPr>
          <w:lang w:val="fr-FR"/>
        </w:rPr>
        <w:t xml:space="preserve"> </w:t>
      </w:r>
      <w:r w:rsidR="00B55685">
        <w:rPr>
          <w:lang w:val="fr-FR"/>
        </w:rPr>
        <w:t>avril et 14 juin 2013 ainsi que dans les observations complémentaires du Gouvernement du 24 juillet 2013</w:t>
      </w:r>
    </w:p>
    <w:p w:rsidR="00155993" w:rsidRPr="00CC39E5" w:rsidRDefault="00EA4DEF" w:rsidP="00041AAC">
      <w:pPr>
        <w:pStyle w:val="ECHRHeading3"/>
        <w:rPr>
          <w:lang w:val="fr-FR"/>
        </w:rPr>
      </w:pPr>
      <w:r>
        <w:rPr>
          <w:lang w:val="fr-FR"/>
        </w:rPr>
        <w:t>1.  </w:t>
      </w:r>
      <w:r w:rsidR="00155993" w:rsidRPr="00CC39E5">
        <w:rPr>
          <w:lang w:val="fr-FR"/>
        </w:rPr>
        <w:t>Sur les soins</w:t>
      </w:r>
    </w:p>
    <w:p w:rsidR="00E84F4C" w:rsidRDefault="009B3542"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16</w:t>
      </w:r>
      <w:r>
        <w:rPr>
          <w:lang w:val="fr-FR"/>
        </w:rPr>
        <w:fldChar w:fldCharType="end"/>
      </w:r>
      <w:r>
        <w:rPr>
          <w:lang w:val="fr-FR"/>
        </w:rPr>
        <w:t>.  </w:t>
      </w:r>
      <w:r w:rsidR="00E84F4C">
        <w:rPr>
          <w:lang w:val="fr-FR"/>
        </w:rPr>
        <w:t>Selon le Gouvernement, le requérant a bénéficié des suivis médicaux suivants :</w:t>
      </w:r>
    </w:p>
    <w:p w:rsidR="00067570" w:rsidRDefault="00E13CD0" w:rsidP="009B3542">
      <w:pPr>
        <w:pStyle w:val="ECHRPara"/>
        <w:rPr>
          <w:lang w:val="fr-FR"/>
        </w:rPr>
      </w:pPr>
      <w:r>
        <w:rPr>
          <w:lang w:val="fr-FR"/>
        </w:rPr>
        <w:t>a)  </w:t>
      </w:r>
      <w:r w:rsidR="00E84F4C">
        <w:rPr>
          <w:lang w:val="fr-FR"/>
        </w:rPr>
        <w:t>Douze extractions réalisées entre le 3 mai 2011 et le 26 juin 2012 aux fins de consultations</w:t>
      </w:r>
      <w:r w:rsidR="0048081B">
        <w:rPr>
          <w:lang w:val="fr-FR"/>
        </w:rPr>
        <w:t xml:space="preserve"> spécialisées</w:t>
      </w:r>
      <w:r w:rsidR="00E84F4C">
        <w:rPr>
          <w:lang w:val="fr-FR"/>
        </w:rPr>
        <w:t xml:space="preserve"> e</w:t>
      </w:r>
      <w:r w:rsidR="0048081B">
        <w:rPr>
          <w:lang w:val="fr-FR"/>
        </w:rPr>
        <w:t>t</w:t>
      </w:r>
      <w:r w:rsidR="00E84F4C">
        <w:rPr>
          <w:lang w:val="fr-FR"/>
        </w:rPr>
        <w:t xml:space="preserve"> d</w:t>
      </w:r>
      <w:r w:rsidR="005A6B8A">
        <w:rPr>
          <w:lang w:val="fr-FR"/>
        </w:rPr>
        <w:t>’</w:t>
      </w:r>
      <w:r w:rsidR="00E84F4C">
        <w:rPr>
          <w:lang w:val="fr-FR"/>
        </w:rPr>
        <w:t>examens médicaux</w:t>
      </w:r>
      <w:r w:rsidR="0048081B">
        <w:rPr>
          <w:lang w:val="fr-FR"/>
        </w:rPr>
        <w:t xml:space="preserve"> d</w:t>
      </w:r>
      <w:r w:rsidR="005A6B8A">
        <w:rPr>
          <w:lang w:val="fr-FR"/>
        </w:rPr>
        <w:t>’</w:t>
      </w:r>
      <w:r w:rsidR="0048081B">
        <w:rPr>
          <w:lang w:val="fr-FR"/>
        </w:rPr>
        <w:t>imagerie médicale en milieu hospitalier au centre hospitalier de Tulle et au</w:t>
      </w:r>
      <w:r w:rsidR="00041AAC">
        <w:rPr>
          <w:lang w:val="fr-FR"/>
        </w:rPr>
        <w:t xml:space="preserve"> centre hospitalier universitaire (</w:t>
      </w:r>
      <w:r w:rsidR="0048081B">
        <w:rPr>
          <w:lang w:val="fr-FR"/>
        </w:rPr>
        <w:t>CHU</w:t>
      </w:r>
      <w:r w:rsidR="00041AAC">
        <w:rPr>
          <w:lang w:val="fr-FR"/>
        </w:rPr>
        <w:t>)</w:t>
      </w:r>
      <w:r w:rsidR="0048081B">
        <w:rPr>
          <w:lang w:val="fr-FR"/>
        </w:rPr>
        <w:t xml:space="preserve"> de Limoges ;</w:t>
      </w:r>
    </w:p>
    <w:p w:rsidR="00945D4E" w:rsidRDefault="00E13CD0" w:rsidP="00945D4E">
      <w:pPr>
        <w:pStyle w:val="ECHRPara"/>
        <w:rPr>
          <w:lang w:val="fr-FR"/>
        </w:rPr>
      </w:pPr>
      <w:r>
        <w:rPr>
          <w:lang w:val="fr-FR"/>
        </w:rPr>
        <w:t>b)  </w:t>
      </w:r>
      <w:r w:rsidR="00945D4E">
        <w:rPr>
          <w:lang w:val="fr-FR"/>
        </w:rPr>
        <w:t>T</w:t>
      </w:r>
      <w:r w:rsidR="00E84F4C">
        <w:rPr>
          <w:lang w:val="fr-FR"/>
        </w:rPr>
        <w:t>rente-trois rendez-vous médicaux avec</w:t>
      </w:r>
      <w:r w:rsidR="00BA2CF7">
        <w:rPr>
          <w:lang w:val="fr-FR"/>
        </w:rPr>
        <w:t xml:space="preserve"> un médecin de l</w:t>
      </w:r>
      <w:r w:rsidR="005A6B8A">
        <w:rPr>
          <w:lang w:val="fr-FR"/>
        </w:rPr>
        <w:t>’</w:t>
      </w:r>
      <w:r w:rsidR="00BA2CF7">
        <w:rPr>
          <w:lang w:val="fr-FR"/>
        </w:rPr>
        <w:t>unité de soins, soit un examen médical pratiqué le 28 mai 2009 suivi de consultations réparties sur la période passée au centre de détention (</w:t>
      </w:r>
      <w:r w:rsidR="0048081B">
        <w:rPr>
          <w:lang w:val="fr-FR"/>
        </w:rPr>
        <w:t>dix en 2009, trois en 2010, dix en 20</w:t>
      </w:r>
      <w:r w:rsidR="00945D4E">
        <w:rPr>
          <w:lang w:val="fr-FR"/>
        </w:rPr>
        <w:t>11, six en 2012, une en 2013) ;</w:t>
      </w:r>
    </w:p>
    <w:p w:rsidR="00067570" w:rsidRDefault="00945D4E" w:rsidP="00945D4E">
      <w:pPr>
        <w:pStyle w:val="ECHRPara"/>
        <w:rPr>
          <w:lang w:val="fr-FR"/>
        </w:rPr>
      </w:pPr>
      <w:r>
        <w:rPr>
          <w:lang w:val="fr-FR"/>
        </w:rPr>
        <w:t>c)</w:t>
      </w:r>
      <w:r w:rsidR="00E13CD0">
        <w:rPr>
          <w:lang w:val="fr-FR"/>
        </w:rPr>
        <w:t>  </w:t>
      </w:r>
      <w:r w:rsidR="0048081B">
        <w:rPr>
          <w:lang w:val="fr-FR"/>
        </w:rPr>
        <w:t>Trois hospitalisations en 2010, 2011 et 2012 de quelques jours</w:t>
      </w:r>
      <w:r>
        <w:rPr>
          <w:lang w:val="fr-FR"/>
        </w:rPr>
        <w:t> ;</w:t>
      </w:r>
    </w:p>
    <w:p w:rsidR="0048081B" w:rsidRDefault="00E13CD0" w:rsidP="00945D4E">
      <w:pPr>
        <w:pStyle w:val="ECHRPara"/>
        <w:rPr>
          <w:lang w:val="fr-FR"/>
        </w:rPr>
      </w:pPr>
      <w:r>
        <w:rPr>
          <w:lang w:val="fr-FR"/>
        </w:rPr>
        <w:t>d)  </w:t>
      </w:r>
      <w:r w:rsidR="00945D4E">
        <w:rPr>
          <w:lang w:val="fr-FR"/>
        </w:rPr>
        <w:t>C</w:t>
      </w:r>
      <w:r w:rsidR="0048081B">
        <w:rPr>
          <w:lang w:val="fr-FR"/>
        </w:rPr>
        <w:t>inquante-cinq soins techniques infirmiers entre 2009 et 2013 auxquels il faut ajouter des rencontres hebdomadaires avec l</w:t>
      </w:r>
      <w:r w:rsidR="005A6B8A">
        <w:rPr>
          <w:lang w:val="fr-FR"/>
        </w:rPr>
        <w:t>’</w:t>
      </w:r>
      <w:r w:rsidR="0048081B">
        <w:rPr>
          <w:lang w:val="fr-FR"/>
        </w:rPr>
        <w:t>infirmière du centre de détention</w:t>
      </w:r>
      <w:r w:rsidR="00945D4E">
        <w:rPr>
          <w:lang w:val="fr-FR"/>
        </w:rPr>
        <w:t> ;</w:t>
      </w:r>
    </w:p>
    <w:p w:rsidR="0048081B" w:rsidRDefault="00E13CD0" w:rsidP="009B3542">
      <w:pPr>
        <w:pStyle w:val="ECHRPara"/>
        <w:rPr>
          <w:lang w:val="fr-FR"/>
        </w:rPr>
      </w:pPr>
      <w:r>
        <w:rPr>
          <w:lang w:val="fr-FR"/>
        </w:rPr>
        <w:t>e)  </w:t>
      </w:r>
      <w:r w:rsidR="00945D4E">
        <w:rPr>
          <w:lang w:val="fr-FR"/>
        </w:rPr>
        <w:t>H</w:t>
      </w:r>
      <w:r w:rsidR="0048081B">
        <w:rPr>
          <w:lang w:val="fr-FR"/>
        </w:rPr>
        <w:t xml:space="preserve">uit consultations psychiatriques et seize rencontres </w:t>
      </w:r>
      <w:r w:rsidR="00F0361D">
        <w:rPr>
          <w:lang w:val="fr-FR"/>
        </w:rPr>
        <w:t>avec une infirmière psychiatrique</w:t>
      </w:r>
      <w:r w:rsidR="00A14806">
        <w:rPr>
          <w:lang w:val="fr-FR"/>
        </w:rPr>
        <w:t> ;</w:t>
      </w:r>
    </w:p>
    <w:p w:rsidR="00E84F4C" w:rsidRDefault="00E13CD0" w:rsidP="009B3542">
      <w:pPr>
        <w:pStyle w:val="ECHRPara"/>
        <w:rPr>
          <w:lang w:val="fr-FR"/>
        </w:rPr>
      </w:pPr>
      <w:r>
        <w:rPr>
          <w:lang w:val="fr-FR"/>
        </w:rPr>
        <w:t>f)  </w:t>
      </w:r>
      <w:r w:rsidR="00041AAC">
        <w:rPr>
          <w:lang w:val="fr-FR"/>
        </w:rPr>
        <w:t>Une m</w:t>
      </w:r>
      <w:r w:rsidR="00A14806">
        <w:rPr>
          <w:lang w:val="fr-FR"/>
        </w:rPr>
        <w:t>ise à disposition de matériel médical de compensation du handicap ou de correction incluant un déambulateur (juin 2009), un coussin anti-escarre (août 2009), des lunettes de vue (janvier 2010), un nouveau fauteuil roulant (septembre 2012), et un appareil d</w:t>
      </w:r>
      <w:r w:rsidR="005A6B8A">
        <w:rPr>
          <w:lang w:val="fr-FR"/>
        </w:rPr>
        <w:t>’</w:t>
      </w:r>
      <w:r w:rsidR="00A14806">
        <w:rPr>
          <w:lang w:val="fr-FR"/>
        </w:rPr>
        <w:t>électro-stimulation (février 2013)</w:t>
      </w:r>
      <w:r w:rsidR="00945D4E">
        <w:rPr>
          <w:lang w:val="fr-FR"/>
        </w:rPr>
        <w:t>.</w:t>
      </w:r>
    </w:p>
    <w:p w:rsidR="00067570" w:rsidRDefault="00945D4E"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17</w:t>
      </w:r>
      <w:r>
        <w:rPr>
          <w:lang w:val="fr-FR"/>
        </w:rPr>
        <w:fldChar w:fldCharType="end"/>
      </w:r>
      <w:r>
        <w:rPr>
          <w:lang w:val="fr-FR"/>
        </w:rPr>
        <w:t>.  </w:t>
      </w:r>
      <w:r w:rsidR="00A14806">
        <w:rPr>
          <w:lang w:val="fr-FR"/>
        </w:rPr>
        <w:t>En plus de ces soins, le Gouvernement informe la Cour que le requérant a bénéficié, à compter de septembre 2012, de séances de kinésithérapie réalisées au sein du centre de détention d</w:t>
      </w:r>
      <w:r w:rsidR="005A6B8A">
        <w:rPr>
          <w:lang w:val="fr-FR"/>
        </w:rPr>
        <w:t>’</w:t>
      </w:r>
      <w:r w:rsidR="00A14806">
        <w:rPr>
          <w:lang w:val="fr-FR"/>
        </w:rPr>
        <w:t>Uzerche.</w:t>
      </w:r>
      <w:r w:rsidR="00BA7055">
        <w:rPr>
          <w:lang w:val="fr-FR"/>
        </w:rPr>
        <w:t xml:space="preserve"> L</w:t>
      </w:r>
      <w:r w:rsidR="005A6B8A">
        <w:rPr>
          <w:lang w:val="fr-FR"/>
        </w:rPr>
        <w:t>’</w:t>
      </w:r>
      <w:r w:rsidR="00BA7055">
        <w:rPr>
          <w:lang w:val="fr-FR"/>
        </w:rPr>
        <w:t>intervention de ce praticien fait suite à trois courriers des 18 novembre 2011, 28 décembre 2011 et 19 mars 2012</w:t>
      </w:r>
      <w:r w:rsidR="00F56FBB">
        <w:rPr>
          <w:lang w:val="fr-FR"/>
        </w:rPr>
        <w:t xml:space="preserve"> par lesquels la directrice interrégionale des services pénitentiaires a alerté le directeur général de l</w:t>
      </w:r>
      <w:r w:rsidR="005A6B8A">
        <w:rPr>
          <w:lang w:val="fr-FR"/>
        </w:rPr>
        <w:t>’</w:t>
      </w:r>
      <w:r w:rsidR="00F56FBB">
        <w:rPr>
          <w:lang w:val="fr-FR"/>
        </w:rPr>
        <w:t>agence régionale de santé du Limousin des conséquences domma</w:t>
      </w:r>
      <w:r w:rsidR="00E911A1">
        <w:rPr>
          <w:lang w:val="fr-FR"/>
        </w:rPr>
        <w:t>geables résultant de l</w:t>
      </w:r>
      <w:r w:rsidR="005A6B8A">
        <w:rPr>
          <w:lang w:val="fr-FR"/>
        </w:rPr>
        <w:t>’</w:t>
      </w:r>
      <w:r w:rsidR="00E911A1">
        <w:rPr>
          <w:lang w:val="fr-FR"/>
        </w:rPr>
        <w:t>absence de kinésithérapeute pour la prise en charge des détenus.</w:t>
      </w:r>
    </w:p>
    <w:p w:rsidR="00067570" w:rsidRDefault="002736C0" w:rsidP="00251A27">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18</w:t>
      </w:r>
      <w:r>
        <w:rPr>
          <w:lang w:val="fr-FR"/>
        </w:rPr>
        <w:fldChar w:fldCharType="end"/>
      </w:r>
      <w:r>
        <w:rPr>
          <w:lang w:val="fr-FR"/>
        </w:rPr>
        <w:t>.  Le Gouvernement ajoute que l</w:t>
      </w:r>
      <w:r w:rsidR="005A6B8A">
        <w:rPr>
          <w:lang w:val="fr-FR"/>
        </w:rPr>
        <w:t>’</w:t>
      </w:r>
      <w:r>
        <w:rPr>
          <w:lang w:val="fr-FR"/>
        </w:rPr>
        <w:t>accès à des cours de yoga a été proposé au requérant mais qu</w:t>
      </w:r>
      <w:r w:rsidR="005A6B8A">
        <w:rPr>
          <w:lang w:val="fr-FR"/>
        </w:rPr>
        <w:t>’</w:t>
      </w:r>
      <w:r>
        <w:rPr>
          <w:lang w:val="fr-FR"/>
        </w:rPr>
        <w:t>il a été radié de la liste des inscrits à ces cours par</w:t>
      </w:r>
      <w:r w:rsidR="00041AAC">
        <w:rPr>
          <w:lang w:val="fr-FR"/>
        </w:rPr>
        <w:t>ce</w:t>
      </w:r>
      <w:r>
        <w:rPr>
          <w:lang w:val="fr-FR"/>
        </w:rPr>
        <w:t xml:space="preserve"> qu</w:t>
      </w:r>
      <w:r w:rsidR="005A6B8A">
        <w:rPr>
          <w:lang w:val="fr-FR"/>
        </w:rPr>
        <w:t>’</w:t>
      </w:r>
      <w:r>
        <w:rPr>
          <w:lang w:val="fr-FR"/>
        </w:rPr>
        <w:t>il ne s</w:t>
      </w:r>
      <w:r w:rsidR="005A6B8A">
        <w:rPr>
          <w:lang w:val="fr-FR"/>
        </w:rPr>
        <w:t>’</w:t>
      </w:r>
      <w:r>
        <w:rPr>
          <w:lang w:val="fr-FR"/>
        </w:rPr>
        <w:t>y rendait pas.</w:t>
      </w:r>
    </w:p>
    <w:p w:rsidR="00067570" w:rsidRDefault="00251A27" w:rsidP="00251A27">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19</w:t>
      </w:r>
      <w:r>
        <w:rPr>
          <w:lang w:val="fr-FR"/>
        </w:rPr>
        <w:fldChar w:fldCharType="end"/>
      </w:r>
      <w:r>
        <w:rPr>
          <w:lang w:val="fr-FR"/>
        </w:rPr>
        <w:t>.  Le requérant confirme les extractions évoquées par le Gouvernement mais précise qu</w:t>
      </w:r>
      <w:r w:rsidR="005A6B8A">
        <w:rPr>
          <w:lang w:val="fr-FR"/>
        </w:rPr>
        <w:t>’</w:t>
      </w:r>
      <w:r>
        <w:rPr>
          <w:lang w:val="fr-FR"/>
        </w:rPr>
        <w:t>elles sont réalisées en ambulance - avec menottes aux poignets et aux pieds - et précédées d</w:t>
      </w:r>
      <w:r w:rsidR="005A6B8A">
        <w:rPr>
          <w:lang w:val="fr-FR"/>
        </w:rPr>
        <w:t>’</w:t>
      </w:r>
      <w:r>
        <w:rPr>
          <w:lang w:val="fr-FR"/>
        </w:rPr>
        <w:t>une fouille corporelle complète et suivies d</w:t>
      </w:r>
      <w:r w:rsidR="005A6B8A">
        <w:rPr>
          <w:lang w:val="fr-FR"/>
        </w:rPr>
        <w:t>’</w:t>
      </w:r>
      <w:r>
        <w:rPr>
          <w:lang w:val="fr-FR"/>
        </w:rPr>
        <w:t xml:space="preserve">une fouille par palpation. </w:t>
      </w:r>
      <w:r w:rsidR="00041AAC">
        <w:rPr>
          <w:lang w:val="fr-FR"/>
        </w:rPr>
        <w:t>Il</w:t>
      </w:r>
      <w:r>
        <w:rPr>
          <w:lang w:val="fr-FR"/>
        </w:rPr>
        <w:t xml:space="preserve"> ajoute que les fouilles corporelles intégrales pratiquées à l</w:t>
      </w:r>
      <w:r w:rsidR="005A6B8A">
        <w:rPr>
          <w:lang w:val="fr-FR"/>
        </w:rPr>
        <w:t>’</w:t>
      </w:r>
      <w:r>
        <w:rPr>
          <w:lang w:val="fr-FR"/>
        </w:rPr>
        <w:t>issue des parloirs et des extraction</w:t>
      </w:r>
      <w:r w:rsidR="00041AAC">
        <w:rPr>
          <w:lang w:val="fr-FR"/>
        </w:rPr>
        <w:t>s sont profondément humiliantes ;</w:t>
      </w:r>
      <w:r>
        <w:rPr>
          <w:lang w:val="fr-FR"/>
        </w:rPr>
        <w:t xml:space="preserve"> il serait contraint de subir le contrôle de sa couche et, pour aller plus vite, les surveillants se mettraient à plusieurs pour le faire. Lors d</w:t>
      </w:r>
      <w:r w:rsidR="005A6B8A">
        <w:rPr>
          <w:lang w:val="fr-FR"/>
        </w:rPr>
        <w:t>’</w:t>
      </w:r>
      <w:r>
        <w:rPr>
          <w:lang w:val="fr-FR"/>
        </w:rPr>
        <w:t>une inspection, un gradé aurait déclaré devant tout le monde que le « chef avait donné des instructions pour qu</w:t>
      </w:r>
      <w:r w:rsidR="005A6B8A">
        <w:rPr>
          <w:lang w:val="fr-FR"/>
        </w:rPr>
        <w:t>’</w:t>
      </w:r>
      <w:r>
        <w:rPr>
          <w:lang w:val="fr-FR"/>
        </w:rPr>
        <w:t>on lui contrôle sa couche ». Le requérant affirme que ces pratiques l</w:t>
      </w:r>
      <w:r w:rsidR="005A6B8A">
        <w:rPr>
          <w:lang w:val="fr-FR"/>
        </w:rPr>
        <w:t>’</w:t>
      </w:r>
      <w:r>
        <w:rPr>
          <w:lang w:val="fr-FR"/>
        </w:rPr>
        <w:t>ont amené à demander à sa sœur d</w:t>
      </w:r>
      <w:r w:rsidR="005A6B8A">
        <w:rPr>
          <w:lang w:val="fr-FR"/>
        </w:rPr>
        <w:t>’</w:t>
      </w:r>
      <w:r>
        <w:rPr>
          <w:lang w:val="fr-FR"/>
        </w:rPr>
        <w:t>espacer ses visites.</w:t>
      </w:r>
    </w:p>
    <w:p w:rsidR="00041AAC" w:rsidRDefault="00CC39E5" w:rsidP="00041AAC">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20</w:t>
      </w:r>
      <w:r>
        <w:rPr>
          <w:lang w:val="fr-FR"/>
        </w:rPr>
        <w:fldChar w:fldCharType="end"/>
      </w:r>
      <w:r>
        <w:rPr>
          <w:lang w:val="fr-FR"/>
        </w:rPr>
        <w:t>.  </w:t>
      </w:r>
      <w:r w:rsidR="00041AAC">
        <w:rPr>
          <w:lang w:val="fr-FR"/>
        </w:rPr>
        <w:t>Quant aux extractions et fouilles dont le requérant se plaint, le Gouvernement précise qu</w:t>
      </w:r>
      <w:r w:rsidR="005A6B8A">
        <w:rPr>
          <w:lang w:val="fr-FR"/>
        </w:rPr>
        <w:t>’</w:t>
      </w:r>
      <w:r w:rsidR="00041AAC">
        <w:rPr>
          <w:lang w:val="fr-FR"/>
        </w:rPr>
        <w:t>en dépit des séquelles dont il souffre, celles-ci ne peuvent être considérées comme ayant entraîné la disparition de tout risque d</w:t>
      </w:r>
      <w:r w:rsidR="005A6B8A">
        <w:rPr>
          <w:lang w:val="fr-FR"/>
        </w:rPr>
        <w:t>’</w:t>
      </w:r>
      <w:r w:rsidR="00041AAC">
        <w:rPr>
          <w:lang w:val="fr-FR"/>
        </w:rPr>
        <w:t>atteinte à la sécurité, son état de santé n</w:t>
      </w:r>
      <w:r w:rsidR="005A6B8A">
        <w:rPr>
          <w:lang w:val="fr-FR"/>
        </w:rPr>
        <w:t>’</w:t>
      </w:r>
      <w:r w:rsidR="00041AAC">
        <w:rPr>
          <w:lang w:val="fr-FR"/>
        </w:rPr>
        <w:t>ayant aucun effet sur les connexions extérieures dont il pourrait disposer et sur les risques d</w:t>
      </w:r>
      <w:r w:rsidR="005A6B8A">
        <w:rPr>
          <w:lang w:val="fr-FR"/>
        </w:rPr>
        <w:t>’</w:t>
      </w:r>
      <w:r w:rsidR="00041AAC">
        <w:rPr>
          <w:lang w:val="fr-FR"/>
        </w:rPr>
        <w:t>évasion. A cet égard, il produit copie de deux décisions de fouilles individuelles (intégrales) datées de 2011 (mois illisible) et de juin 2012 et prises au moment d</w:t>
      </w:r>
      <w:r w:rsidR="005A6B8A">
        <w:rPr>
          <w:lang w:val="fr-FR"/>
        </w:rPr>
        <w:t>’</w:t>
      </w:r>
      <w:r w:rsidR="00041AAC">
        <w:rPr>
          <w:lang w:val="fr-FR"/>
        </w:rPr>
        <w:t>extractions médicales. Il précise que le requérant a été sanctionné en mai 2013 à dix jours de cellule disciplinaire pour des faits de violences envers un codétenu et découverte d</w:t>
      </w:r>
      <w:r w:rsidR="005A6B8A">
        <w:rPr>
          <w:lang w:val="fr-FR"/>
        </w:rPr>
        <w:t>’</w:t>
      </w:r>
      <w:r w:rsidR="00041AAC">
        <w:rPr>
          <w:lang w:val="fr-FR"/>
        </w:rPr>
        <w:t>un téléphone portable dans sa cellule. Il indique que les fouilles au sein de la prison ne sont pas systématiques, mais pratiquées en fonction des incidents constatés</w:t>
      </w:r>
      <w:r>
        <w:rPr>
          <w:lang w:val="fr-FR"/>
        </w:rPr>
        <w:t xml:space="preserve"> au niveau des parloirs ou</w:t>
      </w:r>
      <w:r w:rsidR="00067570">
        <w:rPr>
          <w:lang w:val="fr-FR"/>
        </w:rPr>
        <w:t xml:space="preserve"> </w:t>
      </w:r>
      <w:r>
        <w:rPr>
          <w:lang w:val="fr-FR"/>
        </w:rPr>
        <w:t>dans les cellules</w:t>
      </w:r>
      <w:r w:rsidR="00041AAC">
        <w:rPr>
          <w:lang w:val="fr-FR"/>
        </w:rPr>
        <w:t>. Il produit trois décisions de fouil</w:t>
      </w:r>
      <w:r w:rsidR="00E13CD0">
        <w:rPr>
          <w:lang w:val="fr-FR"/>
        </w:rPr>
        <w:t>les individuelles datées des 14 </w:t>
      </w:r>
      <w:r w:rsidR="00041AAC">
        <w:rPr>
          <w:lang w:val="fr-FR"/>
        </w:rPr>
        <w:t>mai</w:t>
      </w:r>
      <w:r>
        <w:rPr>
          <w:lang w:val="fr-FR"/>
        </w:rPr>
        <w:t xml:space="preserve"> et</w:t>
      </w:r>
      <w:r w:rsidR="00041AAC">
        <w:rPr>
          <w:lang w:val="fr-FR"/>
        </w:rPr>
        <w:t xml:space="preserve"> 26 décembre 2011 </w:t>
      </w:r>
      <w:r>
        <w:rPr>
          <w:lang w:val="fr-FR"/>
        </w:rPr>
        <w:t xml:space="preserve">ainsi que </w:t>
      </w:r>
      <w:r w:rsidR="00041AAC">
        <w:rPr>
          <w:lang w:val="fr-FR"/>
        </w:rPr>
        <w:t>du 10 mai 2013</w:t>
      </w:r>
      <w:r w:rsidR="000E2E79">
        <w:rPr>
          <w:lang w:val="fr-FR"/>
        </w:rPr>
        <w:t xml:space="preserve"> (pour la fouille de la cellule du requérant)</w:t>
      </w:r>
      <w:r w:rsidR="00041AAC">
        <w:rPr>
          <w:lang w:val="fr-FR"/>
        </w:rPr>
        <w:t xml:space="preserve">, </w:t>
      </w:r>
      <w:r>
        <w:rPr>
          <w:lang w:val="fr-FR"/>
        </w:rPr>
        <w:t>et</w:t>
      </w:r>
      <w:r w:rsidR="00041AAC">
        <w:rPr>
          <w:lang w:val="fr-FR"/>
        </w:rPr>
        <w:t xml:space="preserve"> sept décisions de fouille sectorielle temporaire </w:t>
      </w:r>
      <w:r>
        <w:rPr>
          <w:lang w:val="fr-FR"/>
        </w:rPr>
        <w:t xml:space="preserve">après les parloirs </w:t>
      </w:r>
      <w:r w:rsidR="00041AAC">
        <w:rPr>
          <w:lang w:val="fr-FR"/>
        </w:rPr>
        <w:t xml:space="preserve">des </w:t>
      </w:r>
      <w:r w:rsidR="000E2E79">
        <w:rPr>
          <w:lang w:val="fr-FR"/>
        </w:rPr>
        <w:t>10 juin 2011, 10 novembre 2011, 26 juin 2012, 1</w:t>
      </w:r>
      <w:r w:rsidR="000E2E79" w:rsidRPr="000E2E79">
        <w:rPr>
          <w:vertAlign w:val="superscript"/>
          <w:lang w:val="fr-FR"/>
        </w:rPr>
        <w:t>er</w:t>
      </w:r>
      <w:r w:rsidR="00246030">
        <w:rPr>
          <w:lang w:val="fr-FR"/>
        </w:rPr>
        <w:t> </w:t>
      </w:r>
      <w:r w:rsidR="000E2E79">
        <w:rPr>
          <w:lang w:val="fr-FR"/>
        </w:rPr>
        <w:t>octobre 2012,</w:t>
      </w:r>
      <w:r w:rsidR="00246030">
        <w:rPr>
          <w:lang w:val="fr-FR"/>
        </w:rPr>
        <w:t xml:space="preserve"> </w:t>
      </w:r>
      <w:r w:rsidR="00041AAC">
        <w:rPr>
          <w:lang w:val="fr-FR"/>
        </w:rPr>
        <w:t xml:space="preserve">14 décembre 2012, </w:t>
      </w:r>
      <w:r w:rsidR="00246030">
        <w:rPr>
          <w:lang w:val="fr-FR"/>
        </w:rPr>
        <w:t xml:space="preserve">22 mars 2013 et </w:t>
      </w:r>
      <w:r w:rsidR="00041AAC">
        <w:rPr>
          <w:lang w:val="fr-FR"/>
        </w:rPr>
        <w:t>31 mai 2013.</w:t>
      </w:r>
    </w:p>
    <w:p w:rsidR="00067570" w:rsidRDefault="002736C0" w:rsidP="007B5FD5">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21</w:t>
      </w:r>
      <w:r>
        <w:rPr>
          <w:lang w:val="fr-FR"/>
        </w:rPr>
        <w:fldChar w:fldCharType="end"/>
      </w:r>
      <w:r>
        <w:rPr>
          <w:lang w:val="fr-FR"/>
        </w:rPr>
        <w:t>.  </w:t>
      </w:r>
      <w:r w:rsidR="009B3542">
        <w:rPr>
          <w:lang w:val="fr-FR"/>
        </w:rPr>
        <w:t>Concernant les soins de kinésithérapie, dont il ne bénéficie que depuis le mois de septembre 2012, le requérant précise qu</w:t>
      </w:r>
      <w:r w:rsidR="005A6B8A">
        <w:rPr>
          <w:lang w:val="fr-FR"/>
        </w:rPr>
        <w:t>’</w:t>
      </w:r>
      <w:r w:rsidR="009B3542">
        <w:rPr>
          <w:lang w:val="fr-FR"/>
        </w:rPr>
        <w:t>ils se limitent à une séance d</w:t>
      </w:r>
      <w:r w:rsidR="005A6B8A">
        <w:rPr>
          <w:lang w:val="fr-FR"/>
        </w:rPr>
        <w:t>’</w:t>
      </w:r>
      <w:r w:rsidR="009B3542">
        <w:rPr>
          <w:lang w:val="fr-FR"/>
        </w:rPr>
        <w:t>une quinzaine de minutes hebdomadaire. Il fournit un certificat médical du 10 mai 2013 du médecin de l</w:t>
      </w:r>
      <w:r w:rsidR="005A6B8A">
        <w:rPr>
          <w:lang w:val="fr-FR"/>
        </w:rPr>
        <w:t>’</w:t>
      </w:r>
      <w:r w:rsidR="00945D4E">
        <w:rPr>
          <w:lang w:val="fr-FR"/>
        </w:rPr>
        <w:t>Unité de consultations et de soins ambulatoires (</w:t>
      </w:r>
      <w:r w:rsidR="009B3542">
        <w:rPr>
          <w:lang w:val="fr-FR"/>
        </w:rPr>
        <w:t>UCSA</w:t>
      </w:r>
      <w:r w:rsidR="00945D4E">
        <w:rPr>
          <w:lang w:val="fr-FR"/>
        </w:rPr>
        <w:t>)</w:t>
      </w:r>
      <w:r w:rsidR="00F417CA">
        <w:rPr>
          <w:lang w:val="fr-FR"/>
        </w:rPr>
        <w:t xml:space="preserve"> qui indique</w:t>
      </w:r>
      <w:r w:rsidR="009B3542">
        <w:rPr>
          <w:lang w:val="fr-FR"/>
        </w:rPr>
        <w:t xml:space="preserve"> que sa « pathologie nécessite une rééducation journalière que le CD d</w:t>
      </w:r>
      <w:r w:rsidR="005A6B8A">
        <w:rPr>
          <w:lang w:val="fr-FR"/>
        </w:rPr>
        <w:t>’</w:t>
      </w:r>
      <w:r w:rsidR="009B3542">
        <w:rPr>
          <w:lang w:val="fr-FR"/>
        </w:rPr>
        <w:t>Uzerche ne peut pas assurer tant par son manque de personnel qualifié que par l</w:t>
      </w:r>
      <w:r w:rsidR="005A6B8A">
        <w:rPr>
          <w:lang w:val="fr-FR"/>
        </w:rPr>
        <w:t>’</w:t>
      </w:r>
      <w:r w:rsidR="009B3542">
        <w:rPr>
          <w:lang w:val="fr-FR"/>
        </w:rPr>
        <w:t>inadaptation de ses locaux. En conséquence, ce patient ne peut pas rester dans cet établissement sans qu</w:t>
      </w:r>
      <w:r w:rsidR="005A6B8A">
        <w:rPr>
          <w:lang w:val="fr-FR"/>
        </w:rPr>
        <w:t>’</w:t>
      </w:r>
      <w:r w:rsidR="009B3542">
        <w:rPr>
          <w:lang w:val="fr-FR"/>
        </w:rPr>
        <w:t>il y ait des conséquences sur son état de santé. Il doit pouvoir être admis</w:t>
      </w:r>
      <w:r w:rsidR="009C217B">
        <w:rPr>
          <w:lang w:val="fr-FR"/>
        </w:rPr>
        <w:t xml:space="preserve"> dans un centre spécialisé</w:t>
      </w:r>
      <w:r w:rsidR="00246030">
        <w:rPr>
          <w:lang w:val="fr-FR"/>
        </w:rPr>
        <w:t xml:space="preserve"> </w:t>
      </w:r>
      <w:r w:rsidR="009C217B">
        <w:rPr>
          <w:lang w:val="fr-FR"/>
        </w:rPr>
        <w:t>»</w:t>
      </w:r>
      <w:r w:rsidR="00B46891">
        <w:rPr>
          <w:lang w:val="fr-FR"/>
        </w:rPr>
        <w:t>.</w:t>
      </w:r>
      <w:r w:rsidR="009C217B">
        <w:rPr>
          <w:lang w:val="fr-FR"/>
        </w:rPr>
        <w:t xml:space="preserve"> </w:t>
      </w:r>
      <w:r w:rsidR="00B46891">
        <w:rPr>
          <w:lang w:val="fr-FR"/>
        </w:rPr>
        <w:t>Il fait valoir que ce médecin réitère ce que ses confrères avaient déjà signalé le 17 novembre 2009 (pa</w:t>
      </w:r>
      <w:r w:rsidR="00981F7C">
        <w:rPr>
          <w:lang w:val="fr-FR"/>
        </w:rPr>
        <w:t>ragraphe 10</w:t>
      </w:r>
      <w:r w:rsidR="00E13CD0">
        <w:rPr>
          <w:lang w:val="fr-FR"/>
        </w:rPr>
        <w:t xml:space="preserve"> ci</w:t>
      </w:r>
      <w:r w:rsidR="00E13CD0">
        <w:rPr>
          <w:lang w:val="fr-FR"/>
        </w:rPr>
        <w:noBreakHyphen/>
      </w:r>
      <w:r w:rsidR="00246030">
        <w:rPr>
          <w:lang w:val="fr-FR"/>
        </w:rPr>
        <w:t>dessus) et le 11 </w:t>
      </w:r>
      <w:r w:rsidR="00B46891">
        <w:rPr>
          <w:lang w:val="fr-FR"/>
        </w:rPr>
        <w:t>mars 2011 ; il fournit un certificat médical de cette date signé par le médecin de l</w:t>
      </w:r>
      <w:r w:rsidR="005A6B8A">
        <w:rPr>
          <w:lang w:val="fr-FR"/>
        </w:rPr>
        <w:t>’</w:t>
      </w:r>
      <w:r w:rsidR="00B46891">
        <w:rPr>
          <w:lang w:val="fr-FR"/>
        </w:rPr>
        <w:t>UCSA qui indique qu</w:t>
      </w:r>
      <w:r w:rsidR="005A6B8A">
        <w:rPr>
          <w:lang w:val="fr-FR"/>
        </w:rPr>
        <w:t>’</w:t>
      </w:r>
      <w:r w:rsidR="00B46891">
        <w:rPr>
          <w:lang w:val="fr-FR"/>
        </w:rPr>
        <w:t>il ne peut pas rester dans l</w:t>
      </w:r>
      <w:r w:rsidR="005A6B8A">
        <w:rPr>
          <w:lang w:val="fr-FR"/>
        </w:rPr>
        <w:t>’</w:t>
      </w:r>
      <w:r w:rsidR="00B46891">
        <w:rPr>
          <w:lang w:val="fr-FR"/>
        </w:rPr>
        <w:t>établissement sans qu</w:t>
      </w:r>
      <w:r w:rsidR="005A6B8A">
        <w:rPr>
          <w:lang w:val="fr-FR"/>
        </w:rPr>
        <w:t>’</w:t>
      </w:r>
      <w:r w:rsidR="00B46891">
        <w:rPr>
          <w:lang w:val="fr-FR"/>
        </w:rPr>
        <w:t>il y ait de conséquences sur sa santé et qui poursuit ainsi</w:t>
      </w:r>
      <w:r w:rsidR="00952466">
        <w:rPr>
          <w:lang w:val="fr-FR"/>
        </w:rPr>
        <w:t> : </w:t>
      </w:r>
      <w:r w:rsidR="00B46891">
        <w:rPr>
          <w:lang w:val="fr-FR"/>
        </w:rPr>
        <w:t>« sa paraplégie doit être pris</w:t>
      </w:r>
      <w:r w:rsidR="00E13CD0">
        <w:rPr>
          <w:lang w:val="fr-FR"/>
        </w:rPr>
        <w:t>e</w:t>
      </w:r>
      <w:r w:rsidR="00B46891">
        <w:rPr>
          <w:lang w:val="fr-FR"/>
        </w:rPr>
        <w:t xml:space="preserve"> en charge dans un centre de rééducation ».</w:t>
      </w:r>
    </w:p>
    <w:p w:rsidR="00067570" w:rsidRDefault="002736C0"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22</w:t>
      </w:r>
      <w:r>
        <w:rPr>
          <w:lang w:val="fr-FR"/>
        </w:rPr>
        <w:fldChar w:fldCharType="end"/>
      </w:r>
      <w:r>
        <w:rPr>
          <w:lang w:val="fr-FR"/>
        </w:rPr>
        <w:t>.  </w:t>
      </w:r>
      <w:r w:rsidR="00F417CA">
        <w:rPr>
          <w:lang w:val="fr-FR"/>
        </w:rPr>
        <w:t>Concernant l</w:t>
      </w:r>
      <w:r w:rsidR="005A6B8A">
        <w:rPr>
          <w:lang w:val="fr-FR"/>
        </w:rPr>
        <w:t>’</w:t>
      </w:r>
      <w:r w:rsidR="00F417CA">
        <w:rPr>
          <w:lang w:val="fr-FR"/>
        </w:rPr>
        <w:t>appareil d</w:t>
      </w:r>
      <w:r w:rsidR="005A6B8A">
        <w:rPr>
          <w:lang w:val="fr-FR"/>
        </w:rPr>
        <w:t>’</w:t>
      </w:r>
      <w:r w:rsidR="00F417CA">
        <w:rPr>
          <w:lang w:val="fr-FR"/>
        </w:rPr>
        <w:t>électro</w:t>
      </w:r>
      <w:r w:rsidR="009B3542">
        <w:rPr>
          <w:lang w:val="fr-FR"/>
        </w:rPr>
        <w:t>stimulation, le requérant fait valoir qu</w:t>
      </w:r>
      <w:r w:rsidR="00F417CA">
        <w:rPr>
          <w:lang w:val="fr-FR"/>
        </w:rPr>
        <w:t>e c</w:t>
      </w:r>
      <w:r w:rsidR="005A6B8A">
        <w:rPr>
          <w:lang w:val="fr-FR"/>
        </w:rPr>
        <w:t>’</w:t>
      </w:r>
      <w:r w:rsidR="00F417CA">
        <w:rPr>
          <w:lang w:val="fr-FR"/>
        </w:rPr>
        <w:t>est</w:t>
      </w:r>
      <w:r>
        <w:rPr>
          <w:lang w:val="fr-FR"/>
        </w:rPr>
        <w:t xml:space="preserve"> son </w:t>
      </w:r>
      <w:r w:rsidR="009B3542">
        <w:rPr>
          <w:lang w:val="fr-FR"/>
        </w:rPr>
        <w:t>médecin qui a réuni la som</w:t>
      </w:r>
      <w:r>
        <w:rPr>
          <w:lang w:val="fr-FR"/>
        </w:rPr>
        <w:t>me nécessaire à son acquisition</w:t>
      </w:r>
      <w:r w:rsidR="00F417CA">
        <w:rPr>
          <w:lang w:val="fr-FR"/>
        </w:rPr>
        <w:t>, et que l</w:t>
      </w:r>
      <w:r w:rsidR="005A6B8A">
        <w:rPr>
          <w:lang w:val="fr-FR"/>
        </w:rPr>
        <w:t>’</w:t>
      </w:r>
      <w:r w:rsidR="00F417CA">
        <w:rPr>
          <w:lang w:val="fr-FR"/>
        </w:rPr>
        <w:t>administration pénitentiaire</w:t>
      </w:r>
      <w:r w:rsidR="001056CA">
        <w:rPr>
          <w:lang w:val="fr-FR"/>
        </w:rPr>
        <w:t xml:space="preserve"> ne lui permet pas d</w:t>
      </w:r>
      <w:r w:rsidR="005A6B8A">
        <w:rPr>
          <w:lang w:val="fr-FR"/>
        </w:rPr>
        <w:t>’</w:t>
      </w:r>
      <w:r w:rsidR="001056CA">
        <w:rPr>
          <w:lang w:val="fr-FR"/>
        </w:rPr>
        <w:t>en faire l</w:t>
      </w:r>
      <w:r w:rsidR="005A6B8A">
        <w:rPr>
          <w:lang w:val="fr-FR"/>
        </w:rPr>
        <w:t>’</w:t>
      </w:r>
      <w:r w:rsidR="001056CA">
        <w:rPr>
          <w:lang w:val="fr-FR"/>
        </w:rPr>
        <w:t xml:space="preserve">acquisition. </w:t>
      </w:r>
      <w:r w:rsidR="009B3542">
        <w:rPr>
          <w:lang w:val="fr-FR"/>
        </w:rPr>
        <w:t>Quant à la possibilité d</w:t>
      </w:r>
      <w:r w:rsidR="005A6B8A">
        <w:rPr>
          <w:lang w:val="fr-FR"/>
        </w:rPr>
        <w:t>’</w:t>
      </w:r>
      <w:r w:rsidR="009B3542">
        <w:rPr>
          <w:lang w:val="fr-FR"/>
        </w:rPr>
        <w:t>assister au</w:t>
      </w:r>
      <w:r w:rsidR="009B3542" w:rsidRPr="00E41F22">
        <w:rPr>
          <w:lang w:val="fr-FR"/>
        </w:rPr>
        <w:t>x</w:t>
      </w:r>
      <w:r w:rsidR="009B3542">
        <w:rPr>
          <w:lang w:val="fr-FR"/>
        </w:rPr>
        <w:t xml:space="preserve"> cours de yoga, le requérant précise qu</w:t>
      </w:r>
      <w:r w:rsidR="005A6B8A">
        <w:rPr>
          <w:lang w:val="fr-FR"/>
        </w:rPr>
        <w:t>’</w:t>
      </w:r>
      <w:r w:rsidR="009B3542">
        <w:rPr>
          <w:lang w:val="fr-FR"/>
        </w:rPr>
        <w:t>il lui a été enjoint de n</w:t>
      </w:r>
      <w:r w:rsidR="005A6B8A">
        <w:rPr>
          <w:lang w:val="fr-FR"/>
        </w:rPr>
        <w:t>’</w:t>
      </w:r>
      <w:r w:rsidR="009B3542">
        <w:rPr>
          <w:lang w:val="fr-FR"/>
        </w:rPr>
        <w:t>y aller qu</w:t>
      </w:r>
      <w:r w:rsidR="005A6B8A">
        <w:rPr>
          <w:lang w:val="fr-FR"/>
        </w:rPr>
        <w:t>’</w:t>
      </w:r>
      <w:r w:rsidR="009B3542">
        <w:rPr>
          <w:lang w:val="fr-FR"/>
        </w:rPr>
        <w:t xml:space="preserve">une fois </w:t>
      </w:r>
      <w:r w:rsidR="005D342D">
        <w:rPr>
          <w:lang w:val="fr-FR"/>
        </w:rPr>
        <w:t xml:space="preserve">par </w:t>
      </w:r>
      <w:r w:rsidR="009B3542">
        <w:rPr>
          <w:lang w:val="fr-FR"/>
        </w:rPr>
        <w:t>semaine pour ne pas « accaparer » l</w:t>
      </w:r>
      <w:r w:rsidR="005A6B8A">
        <w:rPr>
          <w:lang w:val="fr-FR"/>
        </w:rPr>
        <w:t>’</w:t>
      </w:r>
      <w:r w:rsidR="009B3542">
        <w:rPr>
          <w:lang w:val="fr-FR"/>
        </w:rPr>
        <w:t>ascenseur qui permet de s</w:t>
      </w:r>
      <w:r w:rsidR="005A6B8A">
        <w:rPr>
          <w:lang w:val="fr-FR"/>
        </w:rPr>
        <w:t>’</w:t>
      </w:r>
      <w:r w:rsidR="009B3542">
        <w:rPr>
          <w:lang w:val="fr-FR"/>
        </w:rPr>
        <w:t>y rendre.</w:t>
      </w:r>
    </w:p>
    <w:p w:rsidR="00067570" w:rsidRDefault="002736C0"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23</w:t>
      </w:r>
      <w:r>
        <w:rPr>
          <w:lang w:val="fr-FR"/>
        </w:rPr>
        <w:fldChar w:fldCharType="end"/>
      </w:r>
      <w:r>
        <w:rPr>
          <w:lang w:val="fr-FR"/>
        </w:rPr>
        <w:t>.  </w:t>
      </w:r>
      <w:r w:rsidR="009B3542">
        <w:rPr>
          <w:lang w:val="fr-FR"/>
        </w:rPr>
        <w:t>Le requérant souligne encore qu</w:t>
      </w:r>
      <w:r w:rsidR="005A6B8A">
        <w:rPr>
          <w:lang w:val="fr-FR"/>
        </w:rPr>
        <w:t>’</w:t>
      </w:r>
      <w:r w:rsidR="009B3542">
        <w:rPr>
          <w:lang w:val="fr-FR"/>
        </w:rPr>
        <w:t>il est dépendant du détenu chargé de l</w:t>
      </w:r>
      <w:r w:rsidR="005A6B8A">
        <w:rPr>
          <w:lang w:val="fr-FR"/>
        </w:rPr>
        <w:t>’</w:t>
      </w:r>
      <w:r w:rsidR="009B3542">
        <w:rPr>
          <w:lang w:val="fr-FR"/>
        </w:rPr>
        <w:t>assister dans les gestes du quotidien</w:t>
      </w:r>
      <w:r w:rsidR="00F941B8">
        <w:rPr>
          <w:lang w:val="fr-FR"/>
        </w:rPr>
        <w:t xml:space="preserve">. Il précise que </w:t>
      </w:r>
      <w:r w:rsidR="001056CA">
        <w:rPr>
          <w:lang w:val="fr-FR"/>
        </w:rPr>
        <w:t>le détenu</w:t>
      </w:r>
      <w:r w:rsidR="00F941B8">
        <w:rPr>
          <w:lang w:val="fr-FR"/>
        </w:rPr>
        <w:t xml:space="preserve"> actuellement « classé » à ce poste est le troisième depuis son arrivée dans l</w:t>
      </w:r>
      <w:r w:rsidR="005A6B8A">
        <w:rPr>
          <w:lang w:val="fr-FR"/>
        </w:rPr>
        <w:t>’</w:t>
      </w:r>
      <w:r w:rsidR="00F941B8">
        <w:rPr>
          <w:lang w:val="fr-FR"/>
        </w:rPr>
        <w:t>établissement, et qu</w:t>
      </w:r>
      <w:r w:rsidR="005A6B8A">
        <w:rPr>
          <w:lang w:val="fr-FR"/>
        </w:rPr>
        <w:t>’</w:t>
      </w:r>
      <w:r w:rsidR="00F941B8">
        <w:rPr>
          <w:lang w:val="fr-FR"/>
        </w:rPr>
        <w:t>il est dépendant de lui</w:t>
      </w:r>
      <w:r w:rsidR="009B3542">
        <w:rPr>
          <w:lang w:val="fr-FR"/>
        </w:rPr>
        <w:t xml:space="preserve"> pour la fourniture des produits d</w:t>
      </w:r>
      <w:r w:rsidR="005A6B8A">
        <w:rPr>
          <w:lang w:val="fr-FR"/>
        </w:rPr>
        <w:t>’</w:t>
      </w:r>
      <w:r w:rsidR="009B3542">
        <w:rPr>
          <w:lang w:val="fr-FR"/>
        </w:rPr>
        <w:t>incontinence, l</w:t>
      </w:r>
      <w:r w:rsidR="005A6B8A">
        <w:rPr>
          <w:lang w:val="fr-FR"/>
        </w:rPr>
        <w:t>’</w:t>
      </w:r>
      <w:r w:rsidR="009B3542">
        <w:rPr>
          <w:lang w:val="fr-FR"/>
        </w:rPr>
        <w:t>accompagnement à la douche (une marche l</w:t>
      </w:r>
      <w:r w:rsidR="005A6B8A">
        <w:rPr>
          <w:lang w:val="fr-FR"/>
        </w:rPr>
        <w:t>’</w:t>
      </w:r>
      <w:r w:rsidR="009B3542">
        <w:rPr>
          <w:lang w:val="fr-FR"/>
        </w:rPr>
        <w:t>empêche d</w:t>
      </w:r>
      <w:r w:rsidR="005A6B8A">
        <w:rPr>
          <w:lang w:val="fr-FR"/>
        </w:rPr>
        <w:t>’</w:t>
      </w:r>
      <w:r w:rsidR="009B3542">
        <w:rPr>
          <w:lang w:val="fr-FR"/>
        </w:rPr>
        <w:t>y accéder seul en fauteuil) et l</w:t>
      </w:r>
      <w:r w:rsidR="005A6B8A">
        <w:rPr>
          <w:lang w:val="fr-FR"/>
        </w:rPr>
        <w:t>’</w:t>
      </w:r>
      <w:r w:rsidR="009B3542">
        <w:rPr>
          <w:lang w:val="fr-FR"/>
        </w:rPr>
        <w:t>entretien de la cellule. Ce niveau de dépendance et les situations occasionnées par son incontinence rendent les rapports avec l</w:t>
      </w:r>
      <w:r w:rsidR="005A6B8A">
        <w:rPr>
          <w:lang w:val="fr-FR"/>
        </w:rPr>
        <w:t>’</w:t>
      </w:r>
      <w:r w:rsidR="009B3542">
        <w:rPr>
          <w:lang w:val="fr-FR"/>
        </w:rPr>
        <w:t xml:space="preserve">auxiliaire compliqués. </w:t>
      </w:r>
      <w:r w:rsidR="001056CA">
        <w:rPr>
          <w:lang w:val="fr-FR"/>
        </w:rPr>
        <w:t>Il affirme que l</w:t>
      </w:r>
      <w:r w:rsidR="009B3542">
        <w:rPr>
          <w:lang w:val="fr-FR"/>
        </w:rPr>
        <w:t>a douche représente un moment éprouvant</w:t>
      </w:r>
      <w:r w:rsidR="001056CA">
        <w:rPr>
          <w:lang w:val="fr-FR"/>
        </w:rPr>
        <w:t xml:space="preserve"> car</w:t>
      </w:r>
      <w:r w:rsidR="00F941B8">
        <w:rPr>
          <w:lang w:val="fr-FR"/>
        </w:rPr>
        <w:t xml:space="preserve"> la structure ne permet pas de s</w:t>
      </w:r>
      <w:r w:rsidR="005A6B8A">
        <w:rPr>
          <w:lang w:val="fr-FR"/>
        </w:rPr>
        <w:t>’</w:t>
      </w:r>
      <w:r w:rsidR="00F941B8">
        <w:rPr>
          <w:lang w:val="fr-FR"/>
        </w:rPr>
        <w:t>isoler de la vue d</w:t>
      </w:r>
      <w:r w:rsidR="005A6B8A">
        <w:rPr>
          <w:lang w:val="fr-FR"/>
        </w:rPr>
        <w:t>’</w:t>
      </w:r>
      <w:r w:rsidR="00F941B8">
        <w:rPr>
          <w:lang w:val="fr-FR"/>
        </w:rPr>
        <w:t>autrui</w:t>
      </w:r>
      <w:r w:rsidR="001056CA">
        <w:rPr>
          <w:lang w:val="fr-FR"/>
        </w:rPr>
        <w:t xml:space="preserve"> et</w:t>
      </w:r>
      <w:r w:rsidR="009B3542">
        <w:rPr>
          <w:lang w:val="fr-FR"/>
        </w:rPr>
        <w:t xml:space="preserve"> son incontinence l</w:t>
      </w:r>
      <w:r w:rsidR="005A6B8A">
        <w:rPr>
          <w:lang w:val="fr-FR"/>
        </w:rPr>
        <w:t>’</w:t>
      </w:r>
      <w:r w:rsidR="009B3542">
        <w:rPr>
          <w:lang w:val="fr-FR"/>
        </w:rPr>
        <w:t>expos</w:t>
      </w:r>
      <w:r w:rsidR="00F941B8">
        <w:rPr>
          <w:lang w:val="fr-FR"/>
        </w:rPr>
        <w:t>e</w:t>
      </w:r>
      <w:r w:rsidR="009B3542">
        <w:rPr>
          <w:lang w:val="fr-FR"/>
        </w:rPr>
        <w:t xml:space="preserve"> à des situations très humiliantes, entraînant l</w:t>
      </w:r>
      <w:r w:rsidR="005A6B8A">
        <w:rPr>
          <w:lang w:val="fr-FR"/>
        </w:rPr>
        <w:t>’</w:t>
      </w:r>
      <w:r w:rsidR="009B3542">
        <w:rPr>
          <w:lang w:val="fr-FR"/>
        </w:rPr>
        <w:t>irritation voire l</w:t>
      </w:r>
      <w:r w:rsidR="005A6B8A">
        <w:rPr>
          <w:lang w:val="fr-FR"/>
        </w:rPr>
        <w:t>’</w:t>
      </w:r>
      <w:r w:rsidR="009B3542">
        <w:rPr>
          <w:lang w:val="fr-FR"/>
        </w:rPr>
        <w:t>hostilité des codétenus</w:t>
      </w:r>
      <w:r w:rsidR="00F941B8">
        <w:rPr>
          <w:lang w:val="fr-FR"/>
        </w:rPr>
        <w:t xml:space="preserve"> qui acceptent difficilement de tels désagréments lors des soins d</w:t>
      </w:r>
      <w:r w:rsidR="005A6B8A">
        <w:rPr>
          <w:lang w:val="fr-FR"/>
        </w:rPr>
        <w:t>’</w:t>
      </w:r>
      <w:r w:rsidR="00F941B8">
        <w:rPr>
          <w:lang w:val="fr-FR"/>
        </w:rPr>
        <w:t>hygiène corporelle</w:t>
      </w:r>
      <w:r w:rsidR="009B3542">
        <w:rPr>
          <w:lang w:val="fr-FR"/>
        </w:rPr>
        <w:t>.</w:t>
      </w:r>
    </w:p>
    <w:p w:rsidR="002736C0" w:rsidRDefault="002736C0"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24</w:t>
      </w:r>
      <w:r>
        <w:rPr>
          <w:lang w:val="fr-FR"/>
        </w:rPr>
        <w:fldChar w:fldCharType="end"/>
      </w:r>
      <w:r>
        <w:rPr>
          <w:lang w:val="fr-FR"/>
        </w:rPr>
        <w:t>.  </w:t>
      </w:r>
      <w:r w:rsidR="009B3542">
        <w:rPr>
          <w:lang w:val="fr-FR"/>
        </w:rPr>
        <w:t>Enfin, le requérant informe la Cour qu</w:t>
      </w:r>
      <w:r w:rsidR="005A6B8A">
        <w:rPr>
          <w:lang w:val="fr-FR"/>
        </w:rPr>
        <w:t>’</w:t>
      </w:r>
      <w:r w:rsidR="009B3542">
        <w:rPr>
          <w:lang w:val="fr-FR"/>
        </w:rPr>
        <w:t>il a été transféré</w:t>
      </w:r>
      <w:r w:rsidR="009B74D0">
        <w:rPr>
          <w:lang w:val="fr-FR"/>
        </w:rPr>
        <w:t xml:space="preserve"> temporairement</w:t>
      </w:r>
      <w:r w:rsidR="009B3542">
        <w:rPr>
          <w:lang w:val="fr-FR"/>
        </w:rPr>
        <w:t xml:space="preserve"> dans une cellule du quartier de régime fermé, sur décision de la commission de placement, consécutivement à la découverte d</w:t>
      </w:r>
      <w:r w:rsidR="001056CA">
        <w:rPr>
          <w:lang w:val="fr-FR"/>
        </w:rPr>
        <w:t>u</w:t>
      </w:r>
      <w:r w:rsidR="009B3542">
        <w:rPr>
          <w:lang w:val="fr-FR"/>
        </w:rPr>
        <w:t xml:space="preserve"> téléphone portable en cellule. Compte tenu de ce régime, il a accès à la promenade une heure le matin et une autre l</w:t>
      </w:r>
      <w:r w:rsidR="005A6B8A">
        <w:rPr>
          <w:lang w:val="fr-FR"/>
        </w:rPr>
        <w:t>’</w:t>
      </w:r>
      <w:r w:rsidR="009B3542">
        <w:rPr>
          <w:lang w:val="fr-FR"/>
        </w:rPr>
        <w:t>après-midi alors qu</w:t>
      </w:r>
      <w:r w:rsidR="005A6B8A">
        <w:rPr>
          <w:lang w:val="fr-FR"/>
        </w:rPr>
        <w:t>’</w:t>
      </w:r>
      <w:r w:rsidR="009B3542">
        <w:rPr>
          <w:lang w:val="fr-FR"/>
        </w:rPr>
        <w:t>un médecin lui a établi, le 7 juin 2013, un certificat aux termes duquel son état requiert l</w:t>
      </w:r>
      <w:r w:rsidR="005A6B8A">
        <w:rPr>
          <w:lang w:val="fr-FR"/>
        </w:rPr>
        <w:t>’</w:t>
      </w:r>
      <w:r w:rsidR="009B3542">
        <w:rPr>
          <w:lang w:val="fr-FR"/>
        </w:rPr>
        <w:t>accès à la promenade au minimum cinq heures par jour.</w:t>
      </w:r>
      <w:r w:rsidR="00EF5211">
        <w:rPr>
          <w:lang w:val="fr-FR"/>
        </w:rPr>
        <w:t xml:space="preserve"> </w:t>
      </w:r>
      <w:r w:rsidR="001056CA">
        <w:rPr>
          <w:lang w:val="fr-FR"/>
        </w:rPr>
        <w:t>Le Gouvernement indique que le requérant a été réaffecté dans sa cellule le 26 juin 2013.</w:t>
      </w:r>
    </w:p>
    <w:p w:rsidR="00155993" w:rsidRDefault="00EA4DEF" w:rsidP="00155993">
      <w:pPr>
        <w:pStyle w:val="ECHRHeading3"/>
        <w:rPr>
          <w:lang w:val="fr-FR"/>
        </w:rPr>
      </w:pPr>
      <w:r>
        <w:rPr>
          <w:lang w:val="fr-FR"/>
        </w:rPr>
        <w:t>2.  </w:t>
      </w:r>
      <w:r w:rsidR="00155993">
        <w:rPr>
          <w:lang w:val="fr-FR"/>
        </w:rPr>
        <w:t>Sur un éventuel transfert à Roanne</w:t>
      </w:r>
    </w:p>
    <w:p w:rsidR="00076E72" w:rsidRDefault="00945D4E" w:rsidP="009B354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25</w:t>
      </w:r>
      <w:r>
        <w:rPr>
          <w:lang w:val="fr-FR"/>
        </w:rPr>
        <w:fldChar w:fldCharType="end"/>
      </w:r>
      <w:r>
        <w:rPr>
          <w:lang w:val="fr-FR"/>
        </w:rPr>
        <w:t>.  </w:t>
      </w:r>
      <w:r w:rsidR="00803208">
        <w:rPr>
          <w:lang w:val="fr-FR"/>
        </w:rPr>
        <w:t xml:space="preserve">Selon le requérant, </w:t>
      </w:r>
      <w:r w:rsidR="005A2732">
        <w:rPr>
          <w:lang w:val="fr-FR"/>
        </w:rPr>
        <w:t>s</w:t>
      </w:r>
      <w:r w:rsidR="005A6B8A">
        <w:rPr>
          <w:lang w:val="fr-FR"/>
        </w:rPr>
        <w:t>’</w:t>
      </w:r>
      <w:r w:rsidR="005A2732">
        <w:rPr>
          <w:lang w:val="fr-FR"/>
        </w:rPr>
        <w:t>il est vrai que la direction s</w:t>
      </w:r>
      <w:r w:rsidR="005A6B8A">
        <w:rPr>
          <w:lang w:val="fr-FR"/>
        </w:rPr>
        <w:t>’</w:t>
      </w:r>
      <w:r w:rsidR="005A2732">
        <w:rPr>
          <w:lang w:val="fr-FR"/>
        </w:rPr>
        <w:t>est ef</w:t>
      </w:r>
      <w:r w:rsidR="004B056D">
        <w:rPr>
          <w:lang w:val="fr-FR"/>
        </w:rPr>
        <w:t>f</w:t>
      </w:r>
      <w:r w:rsidR="005A2732">
        <w:rPr>
          <w:lang w:val="fr-FR"/>
        </w:rPr>
        <w:t>orcée de l</w:t>
      </w:r>
      <w:r w:rsidR="005A6B8A">
        <w:rPr>
          <w:lang w:val="fr-FR"/>
        </w:rPr>
        <w:t>’</w:t>
      </w:r>
      <w:r w:rsidR="005A2732">
        <w:rPr>
          <w:lang w:val="fr-FR"/>
        </w:rPr>
        <w:t>amener à demander son transfert à</w:t>
      </w:r>
      <w:r w:rsidR="00803208">
        <w:rPr>
          <w:lang w:val="fr-FR"/>
        </w:rPr>
        <w:t xml:space="preserve"> Roanne</w:t>
      </w:r>
      <w:r w:rsidR="005A2732">
        <w:rPr>
          <w:lang w:val="fr-FR"/>
        </w:rPr>
        <w:t xml:space="preserve">, cette démarche était </w:t>
      </w:r>
      <w:r w:rsidR="00803208">
        <w:rPr>
          <w:lang w:val="fr-FR"/>
        </w:rPr>
        <w:t>dictée par des considérations purement gestionnaires et étrangères aux nécessités de soin.</w:t>
      </w:r>
      <w:r w:rsidR="005A2732">
        <w:rPr>
          <w:lang w:val="fr-FR"/>
        </w:rPr>
        <w:t xml:space="preserve"> Il soutient que l</w:t>
      </w:r>
      <w:r w:rsidR="005A6B8A">
        <w:rPr>
          <w:lang w:val="fr-FR"/>
        </w:rPr>
        <w:t>’</w:t>
      </w:r>
      <w:r w:rsidR="005A2732">
        <w:rPr>
          <w:lang w:val="fr-FR"/>
        </w:rPr>
        <w:t>administration s</w:t>
      </w:r>
      <w:r w:rsidR="005A6B8A">
        <w:rPr>
          <w:lang w:val="fr-FR"/>
        </w:rPr>
        <w:t>’</w:t>
      </w:r>
      <w:r w:rsidR="005A2732">
        <w:rPr>
          <w:lang w:val="fr-FR"/>
        </w:rPr>
        <w:t>est refusée à prendre le moindre engagement sur les conditions de sa prise en charge à Roanne, et sur les soins qu</w:t>
      </w:r>
      <w:r w:rsidR="005A6B8A">
        <w:rPr>
          <w:lang w:val="fr-FR"/>
        </w:rPr>
        <w:t>’</w:t>
      </w:r>
      <w:r w:rsidR="005A2732">
        <w:rPr>
          <w:lang w:val="fr-FR"/>
        </w:rPr>
        <w:t>il pourrait recevoir. Il fait valoir que l</w:t>
      </w:r>
      <w:r w:rsidR="005A6B8A">
        <w:rPr>
          <w:lang w:val="fr-FR"/>
        </w:rPr>
        <w:t>’</w:t>
      </w:r>
      <w:r w:rsidR="005A2732">
        <w:rPr>
          <w:lang w:val="fr-FR"/>
        </w:rPr>
        <w:t>administration ne pouvait pas s</w:t>
      </w:r>
      <w:r w:rsidR="005A6B8A">
        <w:rPr>
          <w:lang w:val="fr-FR"/>
        </w:rPr>
        <w:t>’</w:t>
      </w:r>
      <w:r w:rsidR="005A2732">
        <w:rPr>
          <w:lang w:val="fr-FR"/>
        </w:rPr>
        <w:t>engager sur les modalités de soins puisqu</w:t>
      </w:r>
      <w:r w:rsidR="005A6B8A">
        <w:rPr>
          <w:lang w:val="fr-FR"/>
        </w:rPr>
        <w:t>’</w:t>
      </w:r>
      <w:r w:rsidR="005A2732">
        <w:rPr>
          <w:lang w:val="fr-FR"/>
        </w:rPr>
        <w:t>il y a six cellules pour handicapés dans cet établissement et qu</w:t>
      </w:r>
      <w:r w:rsidR="005A6B8A">
        <w:rPr>
          <w:lang w:val="fr-FR"/>
        </w:rPr>
        <w:t>’</w:t>
      </w:r>
      <w:r w:rsidR="005A2732">
        <w:rPr>
          <w:lang w:val="fr-FR"/>
        </w:rPr>
        <w:t>elles étaient toutes occupées, et que seul un kinésithérapeute intervient pour cinq cent détenus à raison de q</w:t>
      </w:r>
      <w:r w:rsidR="00EA4DEF">
        <w:rPr>
          <w:lang w:val="fr-FR"/>
        </w:rPr>
        <w:t>uatre demi</w:t>
      </w:r>
      <w:r w:rsidR="00EA4DEF">
        <w:rPr>
          <w:lang w:val="fr-FR"/>
        </w:rPr>
        <w:noBreakHyphen/>
      </w:r>
      <w:r w:rsidR="005A2732">
        <w:rPr>
          <w:lang w:val="fr-FR"/>
        </w:rPr>
        <w:t>journées par semaine.</w:t>
      </w:r>
      <w:r w:rsidR="00067570">
        <w:rPr>
          <w:lang w:val="fr-FR"/>
        </w:rPr>
        <w:t xml:space="preserve"> </w:t>
      </w:r>
      <w:r w:rsidR="00803208">
        <w:rPr>
          <w:lang w:val="fr-FR"/>
        </w:rPr>
        <w:t xml:space="preserve">Il soutient </w:t>
      </w:r>
      <w:r w:rsidR="009B74D0">
        <w:rPr>
          <w:lang w:val="fr-FR"/>
        </w:rPr>
        <w:t>qu</w:t>
      </w:r>
      <w:r w:rsidR="005A6B8A">
        <w:rPr>
          <w:lang w:val="fr-FR"/>
        </w:rPr>
        <w:t>’</w:t>
      </w:r>
      <w:r w:rsidR="009B74D0">
        <w:rPr>
          <w:lang w:val="fr-FR"/>
        </w:rPr>
        <w:t>il n</w:t>
      </w:r>
      <w:r w:rsidR="005A6B8A">
        <w:rPr>
          <w:lang w:val="fr-FR"/>
        </w:rPr>
        <w:t>’</w:t>
      </w:r>
      <w:r w:rsidR="009B74D0">
        <w:rPr>
          <w:lang w:val="fr-FR"/>
        </w:rPr>
        <w:t>a</w:t>
      </w:r>
      <w:r w:rsidR="00803208">
        <w:rPr>
          <w:lang w:val="fr-FR"/>
        </w:rPr>
        <w:t xml:space="preserve"> pas formulé de demande</w:t>
      </w:r>
      <w:r w:rsidR="009B74D0">
        <w:rPr>
          <w:lang w:val="fr-FR"/>
        </w:rPr>
        <w:t xml:space="preserve"> de transfert</w:t>
      </w:r>
      <w:r w:rsidR="00803208">
        <w:rPr>
          <w:lang w:val="fr-FR"/>
        </w:rPr>
        <w:t xml:space="preserve"> au </w:t>
      </w:r>
      <w:r w:rsidR="009B74D0">
        <w:rPr>
          <w:lang w:val="fr-FR"/>
        </w:rPr>
        <w:t>motif que cet établissement n</w:t>
      </w:r>
      <w:r w:rsidR="005A6B8A">
        <w:rPr>
          <w:lang w:val="fr-FR"/>
        </w:rPr>
        <w:t>’</w:t>
      </w:r>
      <w:r w:rsidR="00803208">
        <w:rPr>
          <w:lang w:val="fr-FR"/>
        </w:rPr>
        <w:t xml:space="preserve">offrait pas de </w:t>
      </w:r>
      <w:r w:rsidR="00EA4DEF">
        <w:rPr>
          <w:lang w:val="fr-FR"/>
        </w:rPr>
        <w:t xml:space="preserve">prise en charge adaptée </w:t>
      </w:r>
      <w:r w:rsidR="009B74D0">
        <w:rPr>
          <w:lang w:val="fr-FR"/>
        </w:rPr>
        <w:t>et n</w:t>
      </w:r>
      <w:r w:rsidR="005A6B8A">
        <w:rPr>
          <w:lang w:val="fr-FR"/>
        </w:rPr>
        <w:t>’</w:t>
      </w:r>
      <w:r w:rsidR="009B74D0">
        <w:rPr>
          <w:lang w:val="fr-FR"/>
        </w:rPr>
        <w:t>aurait constitué</w:t>
      </w:r>
      <w:r w:rsidR="006B3267">
        <w:rPr>
          <w:lang w:val="fr-FR"/>
        </w:rPr>
        <w:t xml:space="preserve"> qu</w:t>
      </w:r>
      <w:r w:rsidR="005A6B8A">
        <w:rPr>
          <w:lang w:val="fr-FR"/>
        </w:rPr>
        <w:t>’</w:t>
      </w:r>
      <w:r w:rsidR="006B3267">
        <w:rPr>
          <w:lang w:val="fr-FR"/>
        </w:rPr>
        <w:t xml:space="preserve">un bouleversement et une épreuve supplémentaire, après un parcours pénitentiaire fait de déplacements incessants (douze transferts entre 2002 </w:t>
      </w:r>
      <w:r w:rsidR="009B74D0">
        <w:rPr>
          <w:lang w:val="fr-FR"/>
        </w:rPr>
        <w:t>et</w:t>
      </w:r>
      <w:r w:rsidR="006B3267">
        <w:rPr>
          <w:lang w:val="fr-FR"/>
        </w:rPr>
        <w:t xml:space="preserve"> 2009). I</w:t>
      </w:r>
      <w:r w:rsidR="00803208">
        <w:rPr>
          <w:lang w:val="fr-FR"/>
        </w:rPr>
        <w:t>l se réfère à des éléments d</w:t>
      </w:r>
      <w:r w:rsidR="005A6B8A">
        <w:rPr>
          <w:lang w:val="fr-FR"/>
        </w:rPr>
        <w:t>’</w:t>
      </w:r>
      <w:r w:rsidR="00803208">
        <w:rPr>
          <w:lang w:val="fr-FR"/>
        </w:rPr>
        <w:t xml:space="preserve">information recueillis par sa sœur et </w:t>
      </w:r>
      <w:r w:rsidR="00076E72">
        <w:rPr>
          <w:lang w:val="fr-FR"/>
        </w:rPr>
        <w:t xml:space="preserve">par son conseil, auprès de </w:t>
      </w:r>
      <w:r w:rsidR="00803208">
        <w:rPr>
          <w:lang w:val="fr-FR"/>
        </w:rPr>
        <w:t>l</w:t>
      </w:r>
      <w:r w:rsidR="005A6B8A">
        <w:rPr>
          <w:lang w:val="fr-FR"/>
        </w:rPr>
        <w:t>’</w:t>
      </w:r>
      <w:r w:rsidR="00803208">
        <w:rPr>
          <w:lang w:val="fr-FR"/>
        </w:rPr>
        <w:t>observatoire international des prisons</w:t>
      </w:r>
      <w:r w:rsidR="00076E72">
        <w:rPr>
          <w:lang w:val="fr-FR"/>
        </w:rPr>
        <w:t xml:space="preserve"> (OIP)</w:t>
      </w:r>
      <w:r w:rsidR="006B3267">
        <w:rPr>
          <w:lang w:val="fr-FR"/>
        </w:rPr>
        <w:t xml:space="preserve"> et</w:t>
      </w:r>
      <w:r w:rsidR="00076E72">
        <w:rPr>
          <w:lang w:val="fr-FR"/>
        </w:rPr>
        <w:t xml:space="preserve"> produit copie d</w:t>
      </w:r>
      <w:r w:rsidR="005A6B8A">
        <w:rPr>
          <w:lang w:val="fr-FR"/>
        </w:rPr>
        <w:t>’</w:t>
      </w:r>
      <w:r w:rsidR="00076E72">
        <w:rPr>
          <w:lang w:val="fr-FR"/>
        </w:rPr>
        <w:t>un mail envoyé p</w:t>
      </w:r>
      <w:r w:rsidR="006B3267">
        <w:rPr>
          <w:lang w:val="fr-FR"/>
        </w:rPr>
        <w:t>ar l</w:t>
      </w:r>
      <w:r w:rsidR="005A6B8A">
        <w:rPr>
          <w:lang w:val="fr-FR"/>
        </w:rPr>
        <w:t>’</w:t>
      </w:r>
      <w:r w:rsidR="006B3267">
        <w:rPr>
          <w:lang w:val="fr-FR"/>
        </w:rPr>
        <w:t>OIP à son avocat</w:t>
      </w:r>
      <w:r w:rsidR="00076E72">
        <w:rPr>
          <w:lang w:val="fr-FR"/>
        </w:rPr>
        <w:t xml:space="preserve"> daté du 3 janvier 2011</w:t>
      </w:r>
      <w:r w:rsidR="009B74D0">
        <w:rPr>
          <w:lang w:val="fr-FR"/>
        </w:rPr>
        <w:t xml:space="preserve"> qui indique ce qui suit</w:t>
      </w:r>
      <w:r w:rsidR="00076E72">
        <w:rPr>
          <w:lang w:val="fr-FR"/>
        </w:rPr>
        <w:t> :</w:t>
      </w:r>
    </w:p>
    <w:p w:rsidR="00067570" w:rsidRPr="005A6B8A" w:rsidRDefault="00076E72" w:rsidP="00EA4DEF">
      <w:pPr>
        <w:pStyle w:val="ECHRParaQuote"/>
        <w:rPr>
          <w:lang w:val="fr-FR"/>
        </w:rPr>
      </w:pPr>
      <w:r w:rsidRPr="005A6B8A">
        <w:rPr>
          <w:lang w:val="fr-FR"/>
        </w:rPr>
        <w:t>« Je ne crois pas que Meaux et Roanne soient particulièrement aménagés bien que, comme tous les établissements récents, ils disposent de cellules handicapés. Je vous joins une décision de la cour d</w:t>
      </w:r>
      <w:r w:rsidR="005A6B8A">
        <w:rPr>
          <w:lang w:val="fr-FR"/>
        </w:rPr>
        <w:t>’</w:t>
      </w:r>
      <w:r w:rsidRPr="005A6B8A">
        <w:rPr>
          <w:lang w:val="fr-FR"/>
        </w:rPr>
        <w:t>appel de Douai concernant également une personne en fauteuil roulant qui estimait « qu</w:t>
      </w:r>
      <w:r w:rsidR="005A6B8A">
        <w:rPr>
          <w:lang w:val="fr-FR"/>
        </w:rPr>
        <w:t>’</w:t>
      </w:r>
      <w:r w:rsidRPr="005A6B8A">
        <w:rPr>
          <w:lang w:val="fr-FR"/>
        </w:rPr>
        <w:t>aucun établissement pénitentiaire n</w:t>
      </w:r>
      <w:r w:rsidR="005A6B8A">
        <w:rPr>
          <w:lang w:val="fr-FR"/>
        </w:rPr>
        <w:t>’</w:t>
      </w:r>
      <w:r w:rsidRPr="005A6B8A">
        <w:rPr>
          <w:lang w:val="fr-FR"/>
        </w:rPr>
        <w:t>est adapté à l</w:t>
      </w:r>
      <w:r w:rsidR="005A6B8A">
        <w:rPr>
          <w:lang w:val="fr-FR"/>
        </w:rPr>
        <w:t>’</w:t>
      </w:r>
      <w:r w:rsidRPr="005A6B8A">
        <w:rPr>
          <w:lang w:val="fr-FR"/>
        </w:rPr>
        <w:t>état de santé du requérant et accordait en conséquence la suspension de peine. (..) Il me paraît néanmoins important d</w:t>
      </w:r>
      <w:r w:rsidR="005A6B8A">
        <w:rPr>
          <w:lang w:val="fr-FR"/>
        </w:rPr>
        <w:t>’</w:t>
      </w:r>
      <w:r w:rsidRPr="005A6B8A">
        <w:rPr>
          <w:lang w:val="fr-FR"/>
        </w:rPr>
        <w:t>insister sur les conséquences d</w:t>
      </w:r>
      <w:r w:rsidR="005A6B8A">
        <w:rPr>
          <w:lang w:val="fr-FR"/>
        </w:rPr>
        <w:t>’</w:t>
      </w:r>
      <w:r w:rsidRPr="005A6B8A">
        <w:rPr>
          <w:lang w:val="fr-FR"/>
        </w:rPr>
        <w:t>un changement d</w:t>
      </w:r>
      <w:r w:rsidR="005A6B8A">
        <w:rPr>
          <w:lang w:val="fr-FR"/>
        </w:rPr>
        <w:t>’</w:t>
      </w:r>
      <w:r w:rsidRPr="005A6B8A">
        <w:rPr>
          <w:lang w:val="fr-FR"/>
        </w:rPr>
        <w:t>établissement, en termes notamment de liens familiaux, mais aussi sur la procédure de demande de suspension de peine, qui devra alors être repri</w:t>
      </w:r>
      <w:r w:rsidR="006B3267" w:rsidRPr="005A6B8A">
        <w:rPr>
          <w:lang w:val="fr-FR"/>
        </w:rPr>
        <w:t>se au début.</w:t>
      </w:r>
      <w:r w:rsidR="009B74D0" w:rsidRPr="005A6B8A">
        <w:rPr>
          <w:lang w:val="fr-FR"/>
        </w:rPr>
        <w:t xml:space="preserve"> (</w:t>
      </w:r>
      <w:r w:rsidR="00067570" w:rsidRPr="005A6B8A">
        <w:rPr>
          <w:lang w:val="fr-FR"/>
        </w:rPr>
        <w:t>...</w:t>
      </w:r>
      <w:r w:rsidR="009B74D0" w:rsidRPr="005A6B8A">
        <w:rPr>
          <w:lang w:val="fr-FR"/>
        </w:rPr>
        <w:t>)</w:t>
      </w:r>
      <w:r w:rsidR="00E13CD0" w:rsidRPr="005A6B8A">
        <w:rPr>
          <w:lang w:val="fr-FR"/>
        </w:rPr>
        <w:t xml:space="preserve"> </w:t>
      </w:r>
      <w:r w:rsidRPr="005A6B8A">
        <w:rPr>
          <w:lang w:val="fr-FR"/>
        </w:rPr>
        <w:t>»</w:t>
      </w:r>
    </w:p>
    <w:p w:rsidR="00803208" w:rsidRDefault="006B3267" w:rsidP="009B3542">
      <w:pPr>
        <w:pStyle w:val="ECHRPara"/>
        <w:rPr>
          <w:lang w:val="fr-FR"/>
        </w:rPr>
      </w:pPr>
      <w:r>
        <w:rPr>
          <w:lang w:val="fr-FR"/>
        </w:rPr>
        <w:t>Le requérant</w:t>
      </w:r>
      <w:r w:rsidR="00803208">
        <w:rPr>
          <w:lang w:val="fr-FR"/>
        </w:rPr>
        <w:t xml:space="preserve"> rappelle en tout état de cause que le service médical de la prison d</w:t>
      </w:r>
      <w:r w:rsidR="005A6B8A">
        <w:rPr>
          <w:lang w:val="fr-FR"/>
        </w:rPr>
        <w:t>’</w:t>
      </w:r>
      <w:r w:rsidR="00803208">
        <w:rPr>
          <w:lang w:val="fr-FR"/>
        </w:rPr>
        <w:t>Uzerche n</w:t>
      </w:r>
      <w:r w:rsidR="005A6B8A">
        <w:rPr>
          <w:lang w:val="fr-FR"/>
        </w:rPr>
        <w:t>’</w:t>
      </w:r>
      <w:r w:rsidR="00803208">
        <w:rPr>
          <w:lang w:val="fr-FR"/>
        </w:rPr>
        <w:t>a pas pris parti pour un transfert vers Roanne mais pour une prise en charge dans un centre spécialisé.</w:t>
      </w:r>
    </w:p>
    <w:p w:rsidR="00067570" w:rsidRDefault="00803208" w:rsidP="00520AD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26</w:t>
      </w:r>
      <w:r>
        <w:rPr>
          <w:lang w:val="fr-FR"/>
        </w:rPr>
        <w:fldChar w:fldCharType="end"/>
      </w:r>
      <w:r>
        <w:rPr>
          <w:lang w:val="fr-FR"/>
        </w:rPr>
        <w:t>.  </w:t>
      </w:r>
      <w:r w:rsidR="00587303">
        <w:rPr>
          <w:lang w:val="fr-FR"/>
        </w:rPr>
        <w:t>Le Gouvernement soutient</w:t>
      </w:r>
      <w:r w:rsidR="009B3542">
        <w:rPr>
          <w:lang w:val="fr-FR"/>
        </w:rPr>
        <w:t xml:space="preserve"> qu</w:t>
      </w:r>
      <w:r w:rsidR="005A6B8A">
        <w:rPr>
          <w:lang w:val="fr-FR"/>
        </w:rPr>
        <w:t>’</w:t>
      </w:r>
      <w:r w:rsidR="009B3542">
        <w:rPr>
          <w:lang w:val="fr-FR"/>
        </w:rPr>
        <w:t>un transfert vers le centre pénitentiaire de Roanne a été envisagé par les professionnels de santé du centre d</w:t>
      </w:r>
      <w:r w:rsidR="005A6B8A">
        <w:rPr>
          <w:lang w:val="fr-FR"/>
        </w:rPr>
        <w:t>’</w:t>
      </w:r>
      <w:r w:rsidR="009B3542">
        <w:rPr>
          <w:lang w:val="fr-FR"/>
        </w:rPr>
        <w:t>Uzerche mais fait observer que l</w:t>
      </w:r>
      <w:r w:rsidR="00587303">
        <w:rPr>
          <w:lang w:val="fr-FR"/>
        </w:rPr>
        <w:t>e requérant n</w:t>
      </w:r>
      <w:r w:rsidR="005A6B8A">
        <w:rPr>
          <w:lang w:val="fr-FR"/>
        </w:rPr>
        <w:t>’</w:t>
      </w:r>
      <w:r w:rsidR="00587303">
        <w:rPr>
          <w:lang w:val="fr-FR"/>
        </w:rPr>
        <w:t>a jamais formulé une telle demande de transfert ;</w:t>
      </w:r>
      <w:r w:rsidR="009B3542">
        <w:rPr>
          <w:lang w:val="fr-FR"/>
        </w:rPr>
        <w:t xml:space="preserve"> après l</w:t>
      </w:r>
      <w:r w:rsidR="005A6B8A">
        <w:rPr>
          <w:lang w:val="fr-FR"/>
        </w:rPr>
        <w:t>’</w:t>
      </w:r>
      <w:r w:rsidR="009B3542">
        <w:rPr>
          <w:lang w:val="fr-FR"/>
        </w:rPr>
        <w:t>avoir évoqué, il aurait indiqué dès le lendemain</w:t>
      </w:r>
      <w:r w:rsidR="001F4DB6">
        <w:rPr>
          <w:lang w:val="fr-FR"/>
        </w:rPr>
        <w:t xml:space="preserve">, le 9 août 2011, </w:t>
      </w:r>
      <w:r w:rsidR="009B3542">
        <w:rPr>
          <w:lang w:val="fr-FR"/>
        </w:rPr>
        <w:t xml:space="preserve">ne pas souhaiter maintenir celle-ci pour des raisons confuses. </w:t>
      </w:r>
      <w:r w:rsidR="00520AD0">
        <w:rPr>
          <w:lang w:val="fr-FR"/>
        </w:rPr>
        <w:t xml:space="preserve">Le Gouvernement produit </w:t>
      </w:r>
      <w:r w:rsidR="001F4DB6">
        <w:rPr>
          <w:lang w:val="fr-FR"/>
        </w:rPr>
        <w:t xml:space="preserve">encore </w:t>
      </w:r>
      <w:r w:rsidR="00246030">
        <w:rPr>
          <w:lang w:val="fr-FR"/>
        </w:rPr>
        <w:t>une note rédigée le 12 </w:t>
      </w:r>
      <w:r w:rsidR="00520AD0">
        <w:rPr>
          <w:lang w:val="fr-FR"/>
        </w:rPr>
        <w:t>juin 2010 dont il ressort</w:t>
      </w:r>
      <w:r w:rsidR="009B74D0">
        <w:rPr>
          <w:lang w:val="fr-FR"/>
        </w:rPr>
        <w:t>,</w:t>
      </w:r>
      <w:r w:rsidR="00520AD0">
        <w:rPr>
          <w:lang w:val="fr-FR"/>
        </w:rPr>
        <w:t xml:space="preserve"> selon</w:t>
      </w:r>
      <w:r w:rsidR="009B74D0">
        <w:rPr>
          <w:lang w:val="fr-FR"/>
        </w:rPr>
        <w:t xml:space="preserve"> lui,</w:t>
      </w:r>
      <w:r w:rsidR="00520AD0">
        <w:rPr>
          <w:lang w:val="fr-FR"/>
        </w:rPr>
        <w:t xml:space="preserve"> que « la principale motivation de l</w:t>
      </w:r>
      <w:r w:rsidR="005A6B8A">
        <w:rPr>
          <w:lang w:val="fr-FR"/>
        </w:rPr>
        <w:t>’</w:t>
      </w:r>
      <w:r w:rsidR="00520AD0">
        <w:rPr>
          <w:lang w:val="fr-FR"/>
        </w:rPr>
        <w:t>intéressé concernait la jurisprudence des autorités judiciaires s</w:t>
      </w:r>
      <w:r w:rsidR="005A6B8A">
        <w:rPr>
          <w:lang w:val="fr-FR"/>
        </w:rPr>
        <w:t>’</w:t>
      </w:r>
      <w:r w:rsidR="00520AD0">
        <w:rPr>
          <w:lang w:val="fr-FR"/>
        </w:rPr>
        <w:t>agissant</w:t>
      </w:r>
      <w:r w:rsidR="00E453E1">
        <w:rPr>
          <w:lang w:val="fr-FR"/>
        </w:rPr>
        <w:t xml:space="preserve"> des demandes d</w:t>
      </w:r>
      <w:r w:rsidR="005A6B8A">
        <w:rPr>
          <w:lang w:val="fr-FR"/>
        </w:rPr>
        <w:t>’</w:t>
      </w:r>
      <w:r w:rsidR="00E453E1">
        <w:rPr>
          <w:lang w:val="fr-FR"/>
        </w:rPr>
        <w:t>aménagement de peine et non les soins dont il pourrait bénéficier ».</w:t>
      </w:r>
      <w:r w:rsidR="00CA646A">
        <w:rPr>
          <w:lang w:val="fr-FR"/>
        </w:rPr>
        <w:t xml:space="preserve"> </w:t>
      </w:r>
      <w:r w:rsidR="009B3542">
        <w:rPr>
          <w:lang w:val="fr-FR"/>
        </w:rPr>
        <w:t>Le Gouvernement réfute les dires du requérant sur l</w:t>
      </w:r>
      <w:r w:rsidR="005A6B8A">
        <w:rPr>
          <w:lang w:val="fr-FR"/>
        </w:rPr>
        <w:t>’</w:t>
      </w:r>
      <w:r w:rsidR="009B3542">
        <w:rPr>
          <w:lang w:val="fr-FR"/>
        </w:rPr>
        <w:t>incapacité du centre de Roanne de l</w:t>
      </w:r>
      <w:r w:rsidR="005A6B8A">
        <w:rPr>
          <w:lang w:val="fr-FR"/>
        </w:rPr>
        <w:t>’</w:t>
      </w:r>
      <w:r w:rsidR="009B3542">
        <w:rPr>
          <w:lang w:val="fr-FR"/>
        </w:rPr>
        <w:t>accueillir et fait valoir</w:t>
      </w:r>
      <w:r w:rsidR="00C024F4">
        <w:rPr>
          <w:lang w:val="fr-FR"/>
        </w:rPr>
        <w:t>,</w:t>
      </w:r>
      <w:r w:rsidR="009B3542">
        <w:rPr>
          <w:lang w:val="fr-FR"/>
        </w:rPr>
        <w:t xml:space="preserve"> </w:t>
      </w:r>
      <w:r>
        <w:rPr>
          <w:lang w:val="fr-FR"/>
        </w:rPr>
        <w:t>dans ses observations complémentaires</w:t>
      </w:r>
      <w:r w:rsidR="009B74D0">
        <w:rPr>
          <w:lang w:val="fr-FR"/>
        </w:rPr>
        <w:t xml:space="preserve">, que, </w:t>
      </w:r>
      <w:r w:rsidR="00587303">
        <w:rPr>
          <w:lang w:val="fr-FR"/>
        </w:rPr>
        <w:t xml:space="preserve">sur </w:t>
      </w:r>
      <w:r w:rsidR="00C024F4">
        <w:rPr>
          <w:lang w:val="fr-FR"/>
        </w:rPr>
        <w:t>les six cellules réservées aux personnes à mobilité réduite,</w:t>
      </w:r>
      <w:r w:rsidR="009B3542">
        <w:rPr>
          <w:lang w:val="fr-FR"/>
        </w:rPr>
        <w:t xml:space="preserve"> seules trois sont occupées.</w:t>
      </w:r>
      <w:r w:rsidR="00E453E1">
        <w:rPr>
          <w:lang w:val="fr-FR"/>
        </w:rPr>
        <w:t xml:space="preserve"> Il produit copie d</w:t>
      </w:r>
      <w:r w:rsidR="005A6B8A">
        <w:rPr>
          <w:lang w:val="fr-FR"/>
        </w:rPr>
        <w:t>’</w:t>
      </w:r>
      <w:r w:rsidR="00E453E1">
        <w:rPr>
          <w:lang w:val="fr-FR"/>
        </w:rPr>
        <w:t>un mail de l</w:t>
      </w:r>
      <w:r w:rsidR="005A6B8A">
        <w:rPr>
          <w:lang w:val="fr-FR"/>
        </w:rPr>
        <w:t>’</w:t>
      </w:r>
      <w:r w:rsidR="00E453E1">
        <w:rPr>
          <w:lang w:val="fr-FR"/>
        </w:rPr>
        <w:t>administration pénitentiai</w:t>
      </w:r>
      <w:r w:rsidR="009B74D0">
        <w:rPr>
          <w:lang w:val="fr-FR"/>
        </w:rPr>
        <w:t>re daté du mois de juillet 2013 indiquant une telle disponibilité</w:t>
      </w:r>
      <w:r w:rsidR="00E453E1">
        <w:rPr>
          <w:lang w:val="fr-FR"/>
        </w:rPr>
        <w:t>.</w:t>
      </w:r>
      <w:r w:rsidR="009B3542">
        <w:rPr>
          <w:lang w:val="fr-FR"/>
        </w:rPr>
        <w:t xml:space="preserve"> Il précise également qu</w:t>
      </w:r>
      <w:r w:rsidR="005A6B8A">
        <w:rPr>
          <w:lang w:val="fr-FR"/>
        </w:rPr>
        <w:t>’</w:t>
      </w:r>
      <w:r w:rsidR="009B3542">
        <w:rPr>
          <w:lang w:val="fr-FR"/>
        </w:rPr>
        <w:t xml:space="preserve">une convention a été signée en juin 2013 </w:t>
      </w:r>
      <w:r w:rsidR="00543943">
        <w:rPr>
          <w:lang w:val="fr-FR"/>
        </w:rPr>
        <w:t>entre cet établissement, l</w:t>
      </w:r>
      <w:r w:rsidR="005A6B8A">
        <w:rPr>
          <w:lang w:val="fr-FR"/>
        </w:rPr>
        <w:t>’</w:t>
      </w:r>
      <w:r w:rsidR="00543943">
        <w:rPr>
          <w:lang w:val="fr-FR"/>
        </w:rPr>
        <w:t xml:space="preserve">UCSA et une association </w:t>
      </w:r>
      <w:r w:rsidR="009B3542">
        <w:rPr>
          <w:lang w:val="fr-FR"/>
        </w:rPr>
        <w:t>afin de mettre en œuvre une prise en charge adaptée pour les personnes détenues dépendantes avec une aide spécialisée et professionnelle.</w:t>
      </w:r>
    </w:p>
    <w:p w:rsidR="00E77CB3" w:rsidRDefault="00E77CB3" w:rsidP="00C63990">
      <w:pPr>
        <w:pStyle w:val="ECHRHeading1"/>
        <w:rPr>
          <w:lang w:val="fr-FR"/>
        </w:rPr>
      </w:pPr>
      <w:r w:rsidRPr="00AD412E">
        <w:rPr>
          <w:lang w:val="fr-FR"/>
        </w:rPr>
        <w:t>II.  LE DROIT ET LA PRATIQUE INTERNES PERTINENTS</w:t>
      </w:r>
    </w:p>
    <w:p w:rsidR="00A62798" w:rsidRPr="00A62798" w:rsidRDefault="00EA4DEF" w:rsidP="00A62798">
      <w:pPr>
        <w:pStyle w:val="ECHRHeading2"/>
        <w:rPr>
          <w:lang w:val="fr-FR"/>
        </w:rPr>
      </w:pPr>
      <w:r>
        <w:rPr>
          <w:lang w:val="fr-FR"/>
        </w:rPr>
        <w:t>A.  </w:t>
      </w:r>
      <w:r w:rsidR="00A62798">
        <w:rPr>
          <w:lang w:val="fr-FR"/>
        </w:rPr>
        <w:t>La suspension de peine pour raisons médicales</w:t>
      </w:r>
    </w:p>
    <w:p w:rsidR="00D25850" w:rsidRPr="00D25850" w:rsidRDefault="00A37952" w:rsidP="00945D4E">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27</w:t>
      </w:r>
      <w:r>
        <w:rPr>
          <w:lang w:val="fr-FR"/>
        </w:rPr>
        <w:fldChar w:fldCharType="end"/>
      </w:r>
      <w:r w:rsidR="00E77CB3" w:rsidRPr="00AD412E">
        <w:rPr>
          <w:lang w:val="fr-FR"/>
        </w:rPr>
        <w:t>.  </w:t>
      </w:r>
      <w:r w:rsidR="00D25850" w:rsidRPr="00D25850">
        <w:rPr>
          <w:lang w:val="fr-FR"/>
        </w:rPr>
        <w:t>L</w:t>
      </w:r>
      <w:r w:rsidR="005A6B8A">
        <w:rPr>
          <w:lang w:val="fr-FR"/>
        </w:rPr>
        <w:t>’</w:t>
      </w:r>
      <w:r w:rsidR="00D25850" w:rsidRPr="00D25850">
        <w:rPr>
          <w:lang w:val="fr-FR"/>
        </w:rPr>
        <w:t>article 720-1-1 du</w:t>
      </w:r>
      <w:r w:rsidR="00947266">
        <w:rPr>
          <w:lang w:val="fr-FR"/>
        </w:rPr>
        <w:t xml:space="preserve"> CPP</w:t>
      </w:r>
      <w:r w:rsidR="00F713E7">
        <w:rPr>
          <w:lang w:val="fr-FR"/>
        </w:rPr>
        <w:t>, à l</w:t>
      </w:r>
      <w:r w:rsidR="005A6B8A">
        <w:rPr>
          <w:lang w:val="fr-FR"/>
        </w:rPr>
        <w:t>’</w:t>
      </w:r>
      <w:r w:rsidR="00F713E7">
        <w:rPr>
          <w:lang w:val="fr-FR"/>
        </w:rPr>
        <w:t>époque des faits, était ainsi libellé</w:t>
      </w:r>
      <w:r w:rsidR="00D25850" w:rsidRPr="00D25850">
        <w:rPr>
          <w:lang w:val="fr-FR"/>
        </w:rPr>
        <w:t xml:space="preserve"> :</w:t>
      </w:r>
    </w:p>
    <w:p w:rsidR="00D25850" w:rsidRPr="005A6B8A" w:rsidRDefault="00D25850" w:rsidP="00EA4DEF">
      <w:pPr>
        <w:pStyle w:val="ECHRParaQuote"/>
        <w:rPr>
          <w:lang w:val="fr-FR"/>
        </w:rPr>
      </w:pPr>
      <w:r w:rsidRPr="005A6B8A">
        <w:rPr>
          <w:lang w:val="fr-FR"/>
        </w:rPr>
        <w:t>« Sauf s</w:t>
      </w:r>
      <w:r w:rsidR="005A6B8A">
        <w:rPr>
          <w:lang w:val="fr-FR"/>
        </w:rPr>
        <w:t>’</w:t>
      </w:r>
      <w:r w:rsidRPr="005A6B8A">
        <w:rPr>
          <w:lang w:val="fr-FR"/>
        </w:rPr>
        <w:t>il existe un risque grave de renouvellement de l</w:t>
      </w:r>
      <w:r w:rsidR="005A6B8A">
        <w:rPr>
          <w:lang w:val="fr-FR"/>
        </w:rPr>
        <w:t>’</w:t>
      </w:r>
      <w:r w:rsidRPr="005A6B8A">
        <w:rPr>
          <w:lang w:val="fr-FR"/>
        </w:rPr>
        <w:t>infraction, la suspension peut également être ordonnée, quelle que soit la nature de la peine ou la durée de la peine restant à subir, et pour une durée qui n</w:t>
      </w:r>
      <w:r w:rsidR="005A6B8A">
        <w:rPr>
          <w:lang w:val="fr-FR"/>
        </w:rPr>
        <w:t>’</w:t>
      </w:r>
      <w:r w:rsidRPr="005A6B8A">
        <w:rPr>
          <w:lang w:val="fr-FR"/>
        </w:rPr>
        <w:t>a pas à être déterminée, pour les condamnés dont il est établi qu</w:t>
      </w:r>
      <w:r w:rsidR="005A6B8A">
        <w:rPr>
          <w:lang w:val="fr-FR"/>
        </w:rPr>
        <w:t>’</w:t>
      </w:r>
      <w:r w:rsidRPr="005A6B8A">
        <w:rPr>
          <w:lang w:val="fr-FR"/>
        </w:rPr>
        <w:t>ils sont atteints d</w:t>
      </w:r>
      <w:r w:rsidR="005A6B8A">
        <w:rPr>
          <w:lang w:val="fr-FR"/>
        </w:rPr>
        <w:t>’</w:t>
      </w:r>
      <w:r w:rsidRPr="005A6B8A">
        <w:rPr>
          <w:lang w:val="fr-FR"/>
        </w:rPr>
        <w:t>une pathologie engageant le pronostic vital ou que leur état de santé est durablement incompatible avec le maintien en détention, hors les cas d</w:t>
      </w:r>
      <w:r w:rsidR="005A6B8A">
        <w:rPr>
          <w:lang w:val="fr-FR"/>
        </w:rPr>
        <w:t>’</w:t>
      </w:r>
      <w:r w:rsidRPr="005A6B8A">
        <w:rPr>
          <w:lang w:val="fr-FR"/>
        </w:rPr>
        <w:t>hospitalisation des personnes détenues en établissement de santé pour troubles mentaux.</w:t>
      </w:r>
    </w:p>
    <w:p w:rsidR="00D25850" w:rsidRPr="005A6B8A" w:rsidRDefault="00D25850" w:rsidP="00EA4DEF">
      <w:pPr>
        <w:pStyle w:val="ECHRParaQuote"/>
        <w:rPr>
          <w:lang w:val="fr-FR"/>
        </w:rPr>
      </w:pPr>
      <w:r w:rsidRPr="005A6B8A">
        <w:rPr>
          <w:lang w:val="fr-FR"/>
        </w:rPr>
        <w:t>La suspension ne peut être ordonnée que si deux expertises médicales distinctes établissent de manière concordante que le condamné se trouve dans l</w:t>
      </w:r>
      <w:r w:rsidR="005A6B8A">
        <w:rPr>
          <w:lang w:val="fr-FR"/>
        </w:rPr>
        <w:t>’</w:t>
      </w:r>
      <w:r w:rsidRPr="005A6B8A">
        <w:rPr>
          <w:lang w:val="fr-FR"/>
        </w:rPr>
        <w:t>une des situations énoncées à l</w:t>
      </w:r>
      <w:r w:rsidR="005A6B8A">
        <w:rPr>
          <w:lang w:val="fr-FR"/>
        </w:rPr>
        <w:t>’</w:t>
      </w:r>
      <w:r w:rsidRPr="005A6B8A">
        <w:rPr>
          <w:lang w:val="fr-FR"/>
        </w:rPr>
        <w:t>alinéa précédent. Toutefois, en cas d</w:t>
      </w:r>
      <w:r w:rsidR="005A6B8A">
        <w:rPr>
          <w:lang w:val="fr-FR"/>
        </w:rPr>
        <w:t>’</w:t>
      </w:r>
      <w:r w:rsidRPr="005A6B8A">
        <w:rPr>
          <w:lang w:val="fr-FR"/>
        </w:rPr>
        <w:t>urgence, lorsque le pronostic vital est engagé, la suspension peut être ordonnée au vu d</w:t>
      </w:r>
      <w:r w:rsidR="005A6B8A">
        <w:rPr>
          <w:lang w:val="fr-FR"/>
        </w:rPr>
        <w:t>’</w:t>
      </w:r>
      <w:r w:rsidRPr="005A6B8A">
        <w:rPr>
          <w:lang w:val="fr-FR"/>
        </w:rPr>
        <w:t>un certificat médical établi par le médecin responsable de la structure sanitaire dans laquelle est pris en charge le détenu ou son remplaçant (...)</w:t>
      </w:r>
      <w:r w:rsidR="00EA4DEF" w:rsidRPr="005A6B8A">
        <w:rPr>
          <w:lang w:val="fr-FR"/>
        </w:rPr>
        <w:t>.</w:t>
      </w:r>
      <w:r w:rsidRPr="005A6B8A">
        <w:rPr>
          <w:lang w:val="fr-FR"/>
        </w:rPr>
        <w:t> </w:t>
      </w:r>
      <w:r w:rsidR="00EA4DEF" w:rsidRPr="005A6B8A">
        <w:rPr>
          <w:lang w:val="fr-FR"/>
        </w:rPr>
        <w:t>»</w:t>
      </w:r>
    </w:p>
    <w:p w:rsidR="00DD4371" w:rsidRPr="00321E9A" w:rsidRDefault="00F713E7" w:rsidP="00EB3F3B">
      <w:pPr>
        <w:pStyle w:val="ECHRPara"/>
        <w:rPr>
          <w:rFonts w:eastAsia="Times New Roman"/>
          <w:lang w:val="fr-FR"/>
        </w:rPr>
      </w:pPr>
      <w:r w:rsidRPr="00321E9A">
        <w:rPr>
          <w:lang w:val="fr-FR"/>
        </w:rPr>
        <w:t>La loi n</w:t>
      </w:r>
      <w:r w:rsidR="00067570" w:rsidRPr="00067570">
        <w:rPr>
          <w:vertAlign w:val="superscript"/>
          <w:lang w:val="fr-FR"/>
        </w:rPr>
        <w:t>o</w:t>
      </w:r>
      <w:r w:rsidRPr="00321E9A">
        <w:rPr>
          <w:lang w:val="fr-FR"/>
        </w:rPr>
        <w:t xml:space="preserve"> 2014-896 du 15 août 2014 relative à l</w:t>
      </w:r>
      <w:r w:rsidR="005A6B8A">
        <w:rPr>
          <w:lang w:val="fr-FR"/>
        </w:rPr>
        <w:t>’</w:t>
      </w:r>
      <w:r w:rsidRPr="00321E9A">
        <w:rPr>
          <w:lang w:val="fr-FR"/>
        </w:rPr>
        <w:t>individualisation des peines et renforçant l</w:t>
      </w:r>
      <w:r w:rsidR="005A6B8A">
        <w:rPr>
          <w:lang w:val="fr-FR"/>
        </w:rPr>
        <w:t>’</w:t>
      </w:r>
      <w:r w:rsidRPr="00321E9A">
        <w:rPr>
          <w:lang w:val="fr-FR"/>
        </w:rPr>
        <w:t>efficacité des sanctions pénales</w:t>
      </w:r>
      <w:r w:rsidR="00DD4371" w:rsidRPr="00321E9A">
        <w:rPr>
          <w:lang w:val="fr-FR"/>
        </w:rPr>
        <w:t>, entrée en vigueur le 1</w:t>
      </w:r>
      <w:r w:rsidR="00DD4371" w:rsidRPr="00321E9A">
        <w:rPr>
          <w:vertAlign w:val="superscript"/>
          <w:lang w:val="fr-FR"/>
        </w:rPr>
        <w:t>er</w:t>
      </w:r>
      <w:r w:rsidR="00DD4371" w:rsidRPr="00321E9A">
        <w:rPr>
          <w:lang w:val="fr-FR"/>
        </w:rPr>
        <w:t xml:space="preserve"> octobre 2014, a modifié l</w:t>
      </w:r>
      <w:r w:rsidR="002C5668" w:rsidRPr="00321E9A">
        <w:rPr>
          <w:lang w:val="fr-FR"/>
        </w:rPr>
        <w:t>e dispos</w:t>
      </w:r>
      <w:r w:rsidR="00CD2515" w:rsidRPr="00321E9A">
        <w:rPr>
          <w:lang w:val="fr-FR"/>
        </w:rPr>
        <w:t>itif de la suspension de peine.</w:t>
      </w:r>
      <w:r w:rsidR="006C4B66" w:rsidRPr="00321E9A">
        <w:rPr>
          <w:lang w:val="fr-FR"/>
        </w:rPr>
        <w:t xml:space="preserve"> S</w:t>
      </w:r>
      <w:r w:rsidR="005A6B8A">
        <w:rPr>
          <w:lang w:val="fr-FR"/>
        </w:rPr>
        <w:t>’</w:t>
      </w:r>
      <w:r w:rsidR="006C4B66" w:rsidRPr="00321E9A">
        <w:rPr>
          <w:lang w:val="fr-FR"/>
        </w:rPr>
        <w:t>agissant des</w:t>
      </w:r>
      <w:r w:rsidR="002C5668" w:rsidRPr="00321E9A">
        <w:rPr>
          <w:lang w:val="fr-FR"/>
        </w:rPr>
        <w:t xml:space="preserve"> personnes</w:t>
      </w:r>
      <w:r w:rsidR="006C4B66" w:rsidRPr="00321E9A">
        <w:rPr>
          <w:lang w:val="fr-FR"/>
        </w:rPr>
        <w:t xml:space="preserve"> condamné</w:t>
      </w:r>
      <w:r w:rsidR="00FD1CEA" w:rsidRPr="00321E9A">
        <w:rPr>
          <w:lang w:val="fr-FR"/>
        </w:rPr>
        <w:t>e</w:t>
      </w:r>
      <w:r w:rsidR="006C4B66" w:rsidRPr="00321E9A">
        <w:rPr>
          <w:lang w:val="fr-FR"/>
        </w:rPr>
        <w:t xml:space="preserve">s, </w:t>
      </w:r>
      <w:r w:rsidR="004167DE" w:rsidRPr="00321E9A">
        <w:rPr>
          <w:lang w:val="fr-FR"/>
        </w:rPr>
        <w:t xml:space="preserve">elle prévoit notamment que </w:t>
      </w:r>
      <w:r w:rsidR="002C5668" w:rsidRPr="00321E9A">
        <w:rPr>
          <w:lang w:val="fr-FR"/>
        </w:rPr>
        <w:t>l</w:t>
      </w:r>
      <w:r w:rsidR="00FD1CEA" w:rsidRPr="00321E9A">
        <w:rPr>
          <w:lang w:val="fr-FR"/>
        </w:rPr>
        <w:t>e recours à une se</w:t>
      </w:r>
      <w:r w:rsidR="00CD2515" w:rsidRPr="00321E9A">
        <w:rPr>
          <w:lang w:val="fr-FR"/>
        </w:rPr>
        <w:t>conde expertise est supprimé. L</w:t>
      </w:r>
      <w:r w:rsidR="005A6B8A">
        <w:rPr>
          <w:lang w:val="fr-FR"/>
        </w:rPr>
        <w:t>’</w:t>
      </w:r>
      <w:r w:rsidR="00FD1CEA" w:rsidRPr="00321E9A">
        <w:rPr>
          <w:lang w:val="fr-FR"/>
        </w:rPr>
        <w:t xml:space="preserve">alinéa 2 de </w:t>
      </w:r>
      <w:r w:rsidR="00557B54" w:rsidRPr="00321E9A">
        <w:rPr>
          <w:lang w:val="fr-FR"/>
        </w:rPr>
        <w:t>l</w:t>
      </w:r>
      <w:r w:rsidR="005A6B8A">
        <w:rPr>
          <w:lang w:val="fr-FR"/>
        </w:rPr>
        <w:t>’</w:t>
      </w:r>
      <w:r w:rsidR="00557B54" w:rsidRPr="00321E9A">
        <w:rPr>
          <w:lang w:val="fr-FR"/>
        </w:rPr>
        <w:t>article 720-1-1 du CPP dispose</w:t>
      </w:r>
      <w:r w:rsidR="00FD1CEA" w:rsidRPr="00321E9A">
        <w:rPr>
          <w:lang w:val="fr-FR"/>
        </w:rPr>
        <w:t xml:space="preserve"> désormais que « </w:t>
      </w:r>
      <w:r w:rsidR="00FD1CEA" w:rsidRPr="00321E9A">
        <w:rPr>
          <w:rFonts w:eastAsia="Times New Roman"/>
          <w:lang w:val="fr-FR"/>
        </w:rPr>
        <w:t>l</w:t>
      </w:r>
      <w:r w:rsidR="00DD4371" w:rsidRPr="00321E9A">
        <w:rPr>
          <w:rFonts w:eastAsia="Times New Roman"/>
          <w:lang w:val="fr-FR"/>
        </w:rPr>
        <w:t>a suspension ne peut être ordonnée que si une expertise médicale établit que le condamné se trouve dans l</w:t>
      </w:r>
      <w:r w:rsidR="005A6B8A">
        <w:rPr>
          <w:rFonts w:eastAsia="Times New Roman"/>
          <w:lang w:val="fr-FR"/>
        </w:rPr>
        <w:t>’</w:t>
      </w:r>
      <w:r w:rsidR="00DD4371" w:rsidRPr="00321E9A">
        <w:rPr>
          <w:rFonts w:eastAsia="Times New Roman"/>
          <w:lang w:val="fr-FR"/>
        </w:rPr>
        <w:t>une des situations énoncées à l</w:t>
      </w:r>
      <w:r w:rsidR="005A6B8A">
        <w:rPr>
          <w:rFonts w:eastAsia="Times New Roman"/>
          <w:lang w:val="fr-FR"/>
        </w:rPr>
        <w:t>’</w:t>
      </w:r>
      <w:r w:rsidR="00DD4371" w:rsidRPr="00321E9A">
        <w:rPr>
          <w:rFonts w:eastAsia="Times New Roman"/>
          <w:lang w:val="fr-FR"/>
        </w:rPr>
        <w:t>alinéa précédent</w:t>
      </w:r>
      <w:r w:rsidR="00FD1CEA" w:rsidRPr="00321E9A">
        <w:rPr>
          <w:rFonts w:eastAsia="Times New Roman"/>
          <w:lang w:val="fr-FR"/>
        </w:rPr>
        <w:t> »</w:t>
      </w:r>
      <w:r w:rsidR="00EB3F3B" w:rsidRPr="00321E9A">
        <w:rPr>
          <w:rFonts w:eastAsia="Times New Roman"/>
          <w:lang w:val="fr-FR"/>
        </w:rPr>
        <w:t>. Ce même alinéa n</w:t>
      </w:r>
      <w:r w:rsidR="005A6B8A">
        <w:rPr>
          <w:rFonts w:eastAsia="Times New Roman"/>
          <w:lang w:val="fr-FR"/>
        </w:rPr>
        <w:t>’</w:t>
      </w:r>
      <w:r w:rsidR="00EB3F3B" w:rsidRPr="00321E9A">
        <w:rPr>
          <w:rFonts w:eastAsia="Times New Roman"/>
          <w:lang w:val="fr-FR"/>
        </w:rPr>
        <w:t>exige</w:t>
      </w:r>
      <w:r w:rsidR="00CD2515" w:rsidRPr="00321E9A">
        <w:rPr>
          <w:rFonts w:eastAsia="Times New Roman"/>
          <w:lang w:val="fr-FR"/>
        </w:rPr>
        <w:t xml:space="preserve"> plus, </w:t>
      </w:r>
      <w:r w:rsidR="00FD1CEA" w:rsidRPr="00321E9A">
        <w:rPr>
          <w:rFonts w:eastAsia="Times New Roman"/>
          <w:lang w:val="fr-FR"/>
        </w:rPr>
        <w:t>en cas d</w:t>
      </w:r>
      <w:r w:rsidR="005A6B8A">
        <w:rPr>
          <w:rFonts w:eastAsia="Times New Roman"/>
          <w:lang w:val="fr-FR"/>
        </w:rPr>
        <w:t>’</w:t>
      </w:r>
      <w:r w:rsidR="00FD1CEA" w:rsidRPr="00321E9A">
        <w:rPr>
          <w:rFonts w:eastAsia="Times New Roman"/>
          <w:lang w:val="fr-FR"/>
        </w:rPr>
        <w:t xml:space="preserve">urgence, </w:t>
      </w:r>
      <w:r w:rsidR="00387854" w:rsidRPr="00321E9A">
        <w:rPr>
          <w:rFonts w:eastAsia="Times New Roman"/>
          <w:lang w:val="fr-FR"/>
        </w:rPr>
        <w:t>la mention « lorsque le pronostic</w:t>
      </w:r>
      <w:r w:rsidR="00CD2515" w:rsidRPr="00321E9A">
        <w:rPr>
          <w:rFonts w:eastAsia="Times New Roman"/>
          <w:lang w:val="fr-FR"/>
        </w:rPr>
        <w:t xml:space="preserve"> vital est engagé »</w:t>
      </w:r>
      <w:r w:rsidR="00387854" w:rsidRPr="00321E9A">
        <w:rPr>
          <w:rFonts w:eastAsia="Times New Roman"/>
          <w:lang w:val="fr-FR"/>
        </w:rPr>
        <w:t>.</w:t>
      </w:r>
    </w:p>
    <w:p w:rsidR="00067570" w:rsidRDefault="00997779" w:rsidP="00947266">
      <w:pPr>
        <w:pStyle w:val="ECHRPara"/>
        <w:rPr>
          <w:lang w:val="fr-FR"/>
        </w:rPr>
      </w:pPr>
      <w:r w:rsidRPr="00803208">
        <w:fldChar w:fldCharType="begin"/>
      </w:r>
      <w:r w:rsidRPr="00803208">
        <w:rPr>
          <w:lang w:val="fr-FR"/>
        </w:rPr>
        <w:instrText xml:space="preserve"> SEQ level0 \*arabic </w:instrText>
      </w:r>
      <w:r w:rsidRPr="00803208">
        <w:fldChar w:fldCharType="separate"/>
      </w:r>
      <w:r w:rsidR="00746EA9">
        <w:rPr>
          <w:noProof/>
          <w:lang w:val="fr-FR"/>
        </w:rPr>
        <w:t>28</w:t>
      </w:r>
      <w:r w:rsidRPr="00803208">
        <w:fldChar w:fldCharType="end"/>
      </w:r>
      <w:r w:rsidRPr="00803208">
        <w:rPr>
          <w:lang w:val="fr-FR"/>
        </w:rPr>
        <w:t>.  </w:t>
      </w:r>
      <w:r w:rsidR="00803208" w:rsidRPr="00803208">
        <w:rPr>
          <w:lang w:val="fr-FR"/>
        </w:rPr>
        <w:t>S</w:t>
      </w:r>
      <w:r w:rsidR="005A6B8A">
        <w:rPr>
          <w:lang w:val="fr-FR"/>
        </w:rPr>
        <w:t>’</w:t>
      </w:r>
      <w:r w:rsidR="00803208" w:rsidRPr="00803208">
        <w:rPr>
          <w:lang w:val="fr-FR"/>
        </w:rPr>
        <w:t xml:space="preserve">agissant de cette disposition, </w:t>
      </w:r>
      <w:r w:rsidR="00803208">
        <w:rPr>
          <w:lang w:val="fr-FR"/>
        </w:rPr>
        <w:t xml:space="preserve">la Cour de cassation </w:t>
      </w:r>
      <w:r w:rsidR="00BB3803" w:rsidRPr="00803208">
        <w:rPr>
          <w:lang w:val="fr-FR"/>
        </w:rPr>
        <w:t>a précisé</w:t>
      </w:r>
      <w:r w:rsidR="003118FF">
        <w:rPr>
          <w:lang w:val="fr-FR"/>
        </w:rPr>
        <w:t>, dans</w:t>
      </w:r>
      <w:r w:rsidR="003118FF" w:rsidRPr="00803208">
        <w:rPr>
          <w:lang w:val="fr-FR"/>
        </w:rPr>
        <w:t xml:space="preserve"> un arrêt du 28 septembre 2005</w:t>
      </w:r>
      <w:r w:rsidR="003118FF">
        <w:rPr>
          <w:lang w:val="fr-FR"/>
        </w:rPr>
        <w:t xml:space="preserve"> (Cass., c</w:t>
      </w:r>
      <w:r w:rsidR="003118FF" w:rsidRPr="00803208">
        <w:rPr>
          <w:lang w:val="fr-FR"/>
        </w:rPr>
        <w:t>rim., 05-81.010),</w:t>
      </w:r>
      <w:r w:rsidR="00A62798" w:rsidRPr="00803208">
        <w:rPr>
          <w:lang w:val="fr-FR"/>
        </w:rPr>
        <w:t xml:space="preserve"> que </w:t>
      </w:r>
      <w:r w:rsidR="00BB3803" w:rsidRPr="00803208">
        <w:rPr>
          <w:lang w:val="fr-FR"/>
        </w:rPr>
        <w:t>c</w:t>
      </w:r>
      <w:r w:rsidR="005A6B8A">
        <w:rPr>
          <w:lang w:val="fr-FR"/>
        </w:rPr>
        <w:t>’</w:t>
      </w:r>
      <w:r w:rsidR="00BB3803" w:rsidRPr="00803208">
        <w:rPr>
          <w:lang w:val="fr-FR"/>
        </w:rPr>
        <w:t>est nécessairement à court terme que la pathologie dont souffre le condamné doit engager le pronostic vital. Dans un arrêt du 7 janvier 2009</w:t>
      </w:r>
      <w:r w:rsidR="00C42233" w:rsidRPr="00803208">
        <w:rPr>
          <w:lang w:val="fr-FR"/>
        </w:rPr>
        <w:t xml:space="preserve"> (</w:t>
      </w:r>
      <w:r w:rsidR="0034298A">
        <w:rPr>
          <w:lang w:val="fr-FR"/>
        </w:rPr>
        <w:t>Cass.,</w:t>
      </w:r>
      <w:r w:rsidR="00E13CD0">
        <w:rPr>
          <w:lang w:val="fr-FR"/>
        </w:rPr>
        <w:t xml:space="preserve"> </w:t>
      </w:r>
      <w:r w:rsidR="0034298A">
        <w:rPr>
          <w:lang w:val="fr-FR"/>
        </w:rPr>
        <w:t>c</w:t>
      </w:r>
      <w:r w:rsidR="001E02F5">
        <w:rPr>
          <w:lang w:val="fr-FR"/>
        </w:rPr>
        <w:t>rim</w:t>
      </w:r>
      <w:r w:rsidR="009C217B">
        <w:rPr>
          <w:lang w:val="fr-FR"/>
        </w:rPr>
        <w:t>.</w:t>
      </w:r>
      <w:r w:rsidR="001E02F5">
        <w:rPr>
          <w:lang w:val="fr-FR"/>
        </w:rPr>
        <w:t>, 08-83364</w:t>
      </w:r>
      <w:r w:rsidR="00C42233" w:rsidRPr="00803208">
        <w:rPr>
          <w:lang w:val="fr-FR"/>
        </w:rPr>
        <w:t>)</w:t>
      </w:r>
      <w:r w:rsidR="00BB3803" w:rsidRPr="00803208">
        <w:rPr>
          <w:lang w:val="fr-FR"/>
        </w:rPr>
        <w:t>, la Cour de</w:t>
      </w:r>
      <w:r w:rsidR="0008568A">
        <w:rPr>
          <w:lang w:val="fr-FR"/>
        </w:rPr>
        <w:t xml:space="preserve"> cassation jugea, à propos du rejet d</w:t>
      </w:r>
      <w:r w:rsidR="005A6B8A">
        <w:rPr>
          <w:lang w:val="fr-FR"/>
        </w:rPr>
        <w:t>’</w:t>
      </w:r>
      <w:r w:rsidR="0008568A">
        <w:rPr>
          <w:lang w:val="fr-FR"/>
        </w:rPr>
        <w:t>une</w:t>
      </w:r>
      <w:r w:rsidR="00BB3803" w:rsidRPr="00803208">
        <w:rPr>
          <w:lang w:val="fr-FR"/>
        </w:rPr>
        <w:t xml:space="preserve"> demande de suspension </w:t>
      </w:r>
      <w:r w:rsidR="0008568A">
        <w:rPr>
          <w:lang w:val="fr-FR"/>
        </w:rPr>
        <w:t>formulée par un</w:t>
      </w:r>
      <w:r w:rsidR="00BB3803" w:rsidRPr="00803208">
        <w:rPr>
          <w:lang w:val="fr-FR"/>
        </w:rPr>
        <w:t xml:space="preserve"> déte</w:t>
      </w:r>
      <w:r w:rsidR="0008568A">
        <w:rPr>
          <w:lang w:val="fr-FR"/>
        </w:rPr>
        <w:t>nu handicapé par la chambre de l</w:t>
      </w:r>
      <w:r w:rsidR="005A6B8A">
        <w:rPr>
          <w:lang w:val="fr-FR"/>
        </w:rPr>
        <w:t>’</w:t>
      </w:r>
      <w:r w:rsidR="0008568A">
        <w:rPr>
          <w:lang w:val="fr-FR"/>
        </w:rPr>
        <w:t>application des peines de la cour d</w:t>
      </w:r>
      <w:r w:rsidR="005A6B8A">
        <w:rPr>
          <w:lang w:val="fr-FR"/>
        </w:rPr>
        <w:t>’</w:t>
      </w:r>
      <w:r w:rsidR="0008568A">
        <w:rPr>
          <w:lang w:val="fr-FR"/>
        </w:rPr>
        <w:t>appel d</w:t>
      </w:r>
      <w:r w:rsidR="005A6B8A">
        <w:rPr>
          <w:lang w:val="fr-FR"/>
        </w:rPr>
        <w:t>’</w:t>
      </w:r>
      <w:r w:rsidR="0008568A">
        <w:rPr>
          <w:lang w:val="fr-FR"/>
        </w:rPr>
        <w:t>Amiens, que cette dernière n</w:t>
      </w:r>
      <w:r w:rsidR="005A6B8A">
        <w:rPr>
          <w:lang w:val="fr-FR"/>
        </w:rPr>
        <w:t>’</w:t>
      </w:r>
      <w:r w:rsidR="0008568A">
        <w:rPr>
          <w:lang w:val="fr-FR"/>
        </w:rPr>
        <w:t>avait pas justifié sa décision au regard des dispositions de l</w:t>
      </w:r>
      <w:r w:rsidR="005A6B8A">
        <w:rPr>
          <w:lang w:val="fr-FR"/>
        </w:rPr>
        <w:t>’</w:t>
      </w:r>
      <w:r w:rsidR="0008568A">
        <w:rPr>
          <w:lang w:val="fr-FR"/>
        </w:rPr>
        <w:t>article 720-1-1 du CPP car elle n</w:t>
      </w:r>
      <w:r w:rsidR="005A6B8A">
        <w:rPr>
          <w:lang w:val="fr-FR"/>
        </w:rPr>
        <w:t>’</w:t>
      </w:r>
      <w:r w:rsidR="0008568A">
        <w:rPr>
          <w:lang w:val="fr-FR"/>
        </w:rPr>
        <w:t>avait pas recherché, co</w:t>
      </w:r>
      <w:r w:rsidR="0008568A" w:rsidRPr="0008568A">
        <w:rPr>
          <w:rFonts w:ascii="Times New Roman" w:eastAsiaTheme="minorHAnsi" w:hAnsi="Times New Roman" w:cs="Times New Roman"/>
          <w:szCs w:val="24"/>
          <w:lang w:val="fr-FR"/>
        </w:rPr>
        <w:t>mme l</w:t>
      </w:r>
      <w:r w:rsidR="005A6B8A">
        <w:rPr>
          <w:rFonts w:ascii="Times New Roman" w:eastAsiaTheme="minorHAnsi" w:hAnsi="Times New Roman" w:cs="Times New Roman"/>
          <w:szCs w:val="24"/>
          <w:lang w:val="fr-FR"/>
        </w:rPr>
        <w:t>’</w:t>
      </w:r>
      <w:r w:rsidR="0008568A" w:rsidRPr="0008568A">
        <w:rPr>
          <w:rFonts w:ascii="Times New Roman" w:eastAsiaTheme="minorHAnsi" w:hAnsi="Times New Roman" w:cs="Times New Roman"/>
          <w:szCs w:val="24"/>
          <w:lang w:val="fr-FR"/>
        </w:rPr>
        <w:t>y invitaient les conclusions du demandeur, s</w:t>
      </w:r>
      <w:r w:rsidR="005A6B8A">
        <w:rPr>
          <w:rFonts w:ascii="Times New Roman" w:eastAsiaTheme="minorHAnsi" w:hAnsi="Times New Roman" w:cs="Times New Roman"/>
          <w:szCs w:val="24"/>
          <w:lang w:val="fr-FR"/>
        </w:rPr>
        <w:t>’</w:t>
      </w:r>
      <w:r w:rsidR="0008568A" w:rsidRPr="0008568A">
        <w:rPr>
          <w:rFonts w:ascii="Times New Roman" w:eastAsiaTheme="minorHAnsi" w:hAnsi="Times New Roman" w:cs="Times New Roman"/>
          <w:szCs w:val="24"/>
          <w:lang w:val="fr-FR"/>
        </w:rPr>
        <w:t>il ne résultait pas des deux expertises que les conditions effectives de sa détention étaient durablement incompatibles avec son état de santé</w:t>
      </w:r>
      <w:r w:rsidR="00181F4E">
        <w:rPr>
          <w:rFonts w:ascii="Times New Roman" w:eastAsiaTheme="minorHAnsi" w:hAnsi="Times New Roman" w:cs="Times New Roman"/>
          <w:szCs w:val="24"/>
          <w:lang w:val="fr-FR"/>
        </w:rPr>
        <w:t xml:space="preserve">. </w:t>
      </w:r>
      <w:r w:rsidR="00803208">
        <w:rPr>
          <w:lang w:val="fr-FR"/>
        </w:rPr>
        <w:t>Finalement, p</w:t>
      </w:r>
      <w:r>
        <w:rPr>
          <w:lang w:val="fr-FR"/>
        </w:rPr>
        <w:t>ar une décision du 26 juin 2013 (</w:t>
      </w:r>
      <w:r w:rsidR="0034298A">
        <w:rPr>
          <w:lang w:val="fr-FR"/>
        </w:rPr>
        <w:t>Cass., c</w:t>
      </w:r>
      <w:r w:rsidR="00E76F4E">
        <w:rPr>
          <w:lang w:val="fr-FR"/>
        </w:rPr>
        <w:t>rim, 12</w:t>
      </w:r>
      <w:r w:rsidR="00E76F4E">
        <w:rPr>
          <w:lang w:val="fr-FR"/>
        </w:rPr>
        <w:noBreakHyphen/>
      </w:r>
      <w:r>
        <w:rPr>
          <w:lang w:val="fr-FR"/>
        </w:rPr>
        <w:t xml:space="preserve">88284), la Cour de cassation a refusé de renvoyer au Conseil constitutionnel une question prioritaire de constitutionnalité </w:t>
      </w:r>
      <w:r w:rsidR="00F713E7">
        <w:rPr>
          <w:lang w:val="fr-FR"/>
        </w:rPr>
        <w:t>relative à</w:t>
      </w:r>
      <w:r>
        <w:rPr>
          <w:lang w:val="fr-FR"/>
        </w:rPr>
        <w:t xml:space="preserve"> l</w:t>
      </w:r>
      <w:r w:rsidR="005A6B8A">
        <w:rPr>
          <w:lang w:val="fr-FR"/>
        </w:rPr>
        <w:t>’</w:t>
      </w:r>
      <w:r>
        <w:rPr>
          <w:lang w:val="fr-FR"/>
        </w:rPr>
        <w:t>article 720-1-1 du CPP</w:t>
      </w:r>
      <w:r w:rsidR="002C5668">
        <w:rPr>
          <w:lang w:val="fr-FR"/>
        </w:rPr>
        <w:t xml:space="preserve">. </w:t>
      </w:r>
      <w:r w:rsidR="002C5668" w:rsidRPr="00321E9A">
        <w:rPr>
          <w:lang w:val="fr-FR"/>
        </w:rPr>
        <w:t>Cette question portait sur l</w:t>
      </w:r>
      <w:r w:rsidR="005A6B8A">
        <w:rPr>
          <w:lang w:val="fr-FR"/>
        </w:rPr>
        <w:t>’</w:t>
      </w:r>
      <w:r w:rsidR="002C5668" w:rsidRPr="00321E9A">
        <w:rPr>
          <w:lang w:val="fr-FR"/>
        </w:rPr>
        <w:t>atteinte à la mission du juge judiciaire de protéger la liberté individuelle dès lors qu</w:t>
      </w:r>
      <w:r w:rsidR="005A6B8A">
        <w:rPr>
          <w:lang w:val="fr-FR"/>
        </w:rPr>
        <w:t>’</w:t>
      </w:r>
      <w:r w:rsidR="002C5668" w:rsidRPr="00321E9A">
        <w:rPr>
          <w:lang w:val="fr-FR"/>
        </w:rPr>
        <w:t xml:space="preserve">il est lié par les deux avis concordants des experts, </w:t>
      </w:r>
      <w:r w:rsidR="00EB3F3B" w:rsidRPr="00321E9A">
        <w:rPr>
          <w:lang w:val="fr-FR"/>
        </w:rPr>
        <w:t xml:space="preserve">ainsi que </w:t>
      </w:r>
      <w:r w:rsidR="002C5668" w:rsidRPr="00321E9A">
        <w:rPr>
          <w:lang w:val="fr-FR"/>
        </w:rPr>
        <w:t>sur la condition d</w:t>
      </w:r>
      <w:r w:rsidR="005A6B8A">
        <w:rPr>
          <w:lang w:val="fr-FR"/>
        </w:rPr>
        <w:t>’</w:t>
      </w:r>
      <w:r w:rsidR="002C5668" w:rsidRPr="00321E9A">
        <w:rPr>
          <w:lang w:val="fr-FR"/>
        </w:rPr>
        <w:t>une absence de risque grave de renouvellement de l</w:t>
      </w:r>
      <w:r w:rsidR="005A6B8A">
        <w:rPr>
          <w:lang w:val="fr-FR"/>
        </w:rPr>
        <w:t>’</w:t>
      </w:r>
      <w:r w:rsidR="002C5668" w:rsidRPr="00321E9A">
        <w:rPr>
          <w:lang w:val="fr-FR"/>
        </w:rPr>
        <w:t>infraction pour l</w:t>
      </w:r>
      <w:r w:rsidR="005A6B8A">
        <w:rPr>
          <w:lang w:val="fr-FR"/>
        </w:rPr>
        <w:t>’</w:t>
      </w:r>
      <w:r w:rsidR="002C5668" w:rsidRPr="00321E9A">
        <w:rPr>
          <w:lang w:val="fr-FR"/>
        </w:rPr>
        <w:t>octroi de la mesure et sur l</w:t>
      </w:r>
      <w:r w:rsidR="005A6B8A">
        <w:rPr>
          <w:lang w:val="fr-FR"/>
        </w:rPr>
        <w:t>’</w:t>
      </w:r>
      <w:r w:rsidR="002C5668" w:rsidRPr="00321E9A">
        <w:rPr>
          <w:lang w:val="fr-FR"/>
        </w:rPr>
        <w:t>absence</w:t>
      </w:r>
      <w:r w:rsidR="00EB3F3B" w:rsidRPr="00321E9A">
        <w:rPr>
          <w:lang w:val="fr-FR"/>
        </w:rPr>
        <w:t xml:space="preserve"> de précision de la disposition</w:t>
      </w:r>
      <w:r w:rsidR="002C5668" w:rsidRPr="00321E9A">
        <w:rPr>
          <w:lang w:val="fr-FR"/>
        </w:rPr>
        <w:t xml:space="preserve"> au regard du respect de la dignité humaine.</w:t>
      </w:r>
      <w:r w:rsidR="00C07D62">
        <w:rPr>
          <w:lang w:val="fr-FR"/>
        </w:rPr>
        <w:t xml:space="preserve"> La chambre criminelle a considéré q</w:t>
      </w:r>
      <w:r w:rsidR="00650DF4">
        <w:rPr>
          <w:lang w:val="fr-FR"/>
        </w:rPr>
        <w:t>ue la question posée ne présentait</w:t>
      </w:r>
      <w:r w:rsidR="00C07D62">
        <w:rPr>
          <w:lang w:val="fr-FR"/>
        </w:rPr>
        <w:t xml:space="preserve"> pas de caractère sérieux </w:t>
      </w:r>
      <w:r w:rsidR="001E02F5">
        <w:rPr>
          <w:lang w:val="fr-FR"/>
        </w:rPr>
        <w:t>pour les raisons suivantes :</w:t>
      </w:r>
    </w:p>
    <w:p w:rsidR="00067570" w:rsidRDefault="001E02F5" w:rsidP="001E02F5">
      <w:pPr>
        <w:pStyle w:val="ECHRParaQuote"/>
        <w:rPr>
          <w:lang w:val="fr-FR"/>
        </w:rPr>
      </w:pPr>
      <w:r>
        <w:rPr>
          <w:lang w:val="fr-FR"/>
        </w:rPr>
        <w:t>«</w:t>
      </w:r>
      <w:r w:rsidR="00E76F4E">
        <w:rPr>
          <w:lang w:val="fr-FR"/>
        </w:rPr>
        <w:t> </w:t>
      </w:r>
      <w:r>
        <w:rPr>
          <w:lang w:val="fr-FR"/>
        </w:rPr>
        <w:t>(</w:t>
      </w:r>
      <w:r w:rsidR="00067570">
        <w:rPr>
          <w:lang w:val="fr-FR"/>
        </w:rPr>
        <w:t>...</w:t>
      </w:r>
      <w:r>
        <w:rPr>
          <w:lang w:val="fr-FR"/>
        </w:rPr>
        <w:t xml:space="preserve">) </w:t>
      </w:r>
      <w:r w:rsidR="00C42233">
        <w:rPr>
          <w:lang w:val="fr-FR"/>
        </w:rPr>
        <w:t>d</w:t>
      </w:r>
      <w:r w:rsidR="005A6B8A">
        <w:rPr>
          <w:lang w:val="fr-FR"/>
        </w:rPr>
        <w:t>’</w:t>
      </w:r>
      <w:r w:rsidR="00C42233">
        <w:rPr>
          <w:lang w:val="fr-FR"/>
        </w:rPr>
        <w:t xml:space="preserve">une part, </w:t>
      </w:r>
      <w:r>
        <w:rPr>
          <w:lang w:val="fr-FR"/>
        </w:rPr>
        <w:t>(</w:t>
      </w:r>
      <w:r w:rsidR="00067570">
        <w:rPr>
          <w:lang w:val="fr-FR"/>
        </w:rPr>
        <w:t>...</w:t>
      </w:r>
      <w:r>
        <w:rPr>
          <w:lang w:val="fr-FR"/>
        </w:rPr>
        <w:t xml:space="preserve">) </w:t>
      </w:r>
      <w:r w:rsidR="001B4B0C">
        <w:rPr>
          <w:lang w:val="fr-FR"/>
        </w:rPr>
        <w:t>la personne concernée a été pr</w:t>
      </w:r>
      <w:r w:rsidR="00C42233">
        <w:rPr>
          <w:lang w:val="fr-FR"/>
        </w:rPr>
        <w:t>i</w:t>
      </w:r>
      <w:r w:rsidR="001B4B0C">
        <w:rPr>
          <w:lang w:val="fr-FR"/>
        </w:rPr>
        <w:t>v</w:t>
      </w:r>
      <w:r w:rsidR="00C42233">
        <w:rPr>
          <w:lang w:val="fr-FR"/>
        </w:rPr>
        <w:t>ée de sa liberté pour l</w:t>
      </w:r>
      <w:r w:rsidR="005A6B8A">
        <w:rPr>
          <w:lang w:val="fr-FR"/>
        </w:rPr>
        <w:t>’</w:t>
      </w:r>
      <w:r w:rsidR="00C42233">
        <w:rPr>
          <w:lang w:val="fr-FR"/>
        </w:rPr>
        <w:t>exécution d</w:t>
      </w:r>
      <w:r w:rsidR="005A6B8A">
        <w:rPr>
          <w:lang w:val="fr-FR"/>
        </w:rPr>
        <w:t>’</w:t>
      </w:r>
      <w:r w:rsidR="00C42233">
        <w:rPr>
          <w:lang w:val="fr-FR"/>
        </w:rPr>
        <w:t>une peine jugée nécessaire par l</w:t>
      </w:r>
      <w:r w:rsidR="005A6B8A">
        <w:rPr>
          <w:lang w:val="fr-FR"/>
        </w:rPr>
        <w:t>’</w:t>
      </w:r>
      <w:r w:rsidR="00C42233">
        <w:rPr>
          <w:lang w:val="fr-FR"/>
        </w:rPr>
        <w:t>autorité judiciaire, la suspension pour motif médical constituant une mesure exceptionnelle, et d</w:t>
      </w:r>
      <w:r w:rsidR="005A6B8A">
        <w:rPr>
          <w:lang w:val="fr-FR"/>
        </w:rPr>
        <w:t>’</w:t>
      </w:r>
      <w:r w:rsidR="00C42233">
        <w:rPr>
          <w:lang w:val="fr-FR"/>
        </w:rPr>
        <w:t>autre part,</w:t>
      </w:r>
      <w:r w:rsidR="00067570">
        <w:rPr>
          <w:lang w:val="fr-FR"/>
        </w:rPr>
        <w:t xml:space="preserve"> </w:t>
      </w:r>
      <w:r>
        <w:rPr>
          <w:lang w:val="fr-FR"/>
        </w:rPr>
        <w:t>(</w:t>
      </w:r>
      <w:r w:rsidR="00067570">
        <w:rPr>
          <w:lang w:val="fr-FR"/>
        </w:rPr>
        <w:t>...</w:t>
      </w:r>
      <w:r>
        <w:rPr>
          <w:lang w:val="fr-FR"/>
        </w:rPr>
        <w:t>)</w:t>
      </w:r>
      <w:r w:rsidR="00C07D62">
        <w:rPr>
          <w:lang w:val="fr-FR"/>
        </w:rPr>
        <w:t xml:space="preserve"> même en présence de deux expertises concordantes établissant que le condamné ne se trouve pas dans l</w:t>
      </w:r>
      <w:r w:rsidR="005A6B8A">
        <w:rPr>
          <w:lang w:val="fr-FR"/>
        </w:rPr>
        <w:t>’</w:t>
      </w:r>
      <w:r w:rsidR="00C07D62">
        <w:rPr>
          <w:lang w:val="fr-FR"/>
        </w:rPr>
        <w:t>une des situations prévues par l</w:t>
      </w:r>
      <w:r w:rsidR="005A6B8A">
        <w:rPr>
          <w:lang w:val="fr-FR"/>
        </w:rPr>
        <w:t>’</w:t>
      </w:r>
      <w:r w:rsidR="00C07D62">
        <w:rPr>
          <w:lang w:val="fr-FR"/>
        </w:rPr>
        <w:t xml:space="preserve">article 720-1-1 </w:t>
      </w:r>
      <w:r w:rsidR="00947266">
        <w:rPr>
          <w:lang w:val="fr-FR"/>
        </w:rPr>
        <w:t>[</w:t>
      </w:r>
      <w:r w:rsidR="00C07D62">
        <w:rPr>
          <w:lang w:val="fr-FR"/>
        </w:rPr>
        <w:t xml:space="preserve">du </w:t>
      </w:r>
      <w:r w:rsidR="00947266">
        <w:rPr>
          <w:lang w:val="fr-FR"/>
        </w:rPr>
        <w:t>CPP]</w:t>
      </w:r>
      <w:r w:rsidR="00C07D62">
        <w:rPr>
          <w:lang w:val="fr-FR"/>
        </w:rPr>
        <w:t>, il entre de manière normalement prévisible dans l</w:t>
      </w:r>
      <w:r w:rsidR="005A6B8A">
        <w:rPr>
          <w:lang w:val="fr-FR"/>
        </w:rPr>
        <w:t>’</w:t>
      </w:r>
      <w:r w:rsidR="00C07D62">
        <w:rPr>
          <w:lang w:val="fr-FR"/>
        </w:rPr>
        <w:t>office du juge qui reste saisi d</w:t>
      </w:r>
      <w:r w:rsidR="005A6B8A">
        <w:rPr>
          <w:lang w:val="fr-FR"/>
        </w:rPr>
        <w:t>’</w:t>
      </w:r>
      <w:r w:rsidR="00C07D62">
        <w:rPr>
          <w:lang w:val="fr-FR"/>
        </w:rPr>
        <w:t>une demande de suspension de peine, soit d</w:t>
      </w:r>
      <w:r w:rsidR="005A6B8A">
        <w:rPr>
          <w:lang w:val="fr-FR"/>
        </w:rPr>
        <w:t>’</w:t>
      </w:r>
      <w:r w:rsidR="00C07D62">
        <w:rPr>
          <w:lang w:val="fr-FR"/>
        </w:rPr>
        <w:t>ordonner une nouvelle expertise, soit de rechercher si le maintien en détention de l</w:t>
      </w:r>
      <w:r w:rsidR="005A6B8A">
        <w:rPr>
          <w:lang w:val="fr-FR"/>
        </w:rPr>
        <w:t>’</w:t>
      </w:r>
      <w:r w:rsidR="00C07D62">
        <w:rPr>
          <w:lang w:val="fr-FR"/>
        </w:rPr>
        <w:t>intéressé n</w:t>
      </w:r>
      <w:r w:rsidR="005A6B8A">
        <w:rPr>
          <w:lang w:val="fr-FR"/>
        </w:rPr>
        <w:t>’</w:t>
      </w:r>
      <w:r w:rsidR="00C07D62">
        <w:rPr>
          <w:lang w:val="fr-FR"/>
        </w:rPr>
        <w:t>est pas constitutif d</w:t>
      </w:r>
      <w:r w:rsidR="005A6B8A">
        <w:rPr>
          <w:lang w:val="fr-FR"/>
        </w:rPr>
        <w:t>’</w:t>
      </w:r>
      <w:r w:rsidR="00C07D62">
        <w:rPr>
          <w:lang w:val="fr-FR"/>
        </w:rPr>
        <w:t>un traitement inhumain ou dégradant, notamment par son incompatibilité avec les garanties qui lui</w:t>
      </w:r>
      <w:r w:rsidR="005D342D">
        <w:rPr>
          <w:lang w:val="fr-FR"/>
        </w:rPr>
        <w:t xml:space="preserve"> sont</w:t>
      </w:r>
      <w:r w:rsidR="00EA4DEF">
        <w:rPr>
          <w:lang w:val="fr-FR"/>
        </w:rPr>
        <w:t xml:space="preserve"> dues pour protéger sa santé. »</w:t>
      </w:r>
    </w:p>
    <w:p w:rsidR="00067570" w:rsidRDefault="008B2528" w:rsidP="00F24E3E">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29</w:t>
      </w:r>
      <w:r>
        <w:rPr>
          <w:lang w:val="fr-FR"/>
        </w:rPr>
        <w:fldChar w:fldCharType="end"/>
      </w:r>
      <w:r>
        <w:rPr>
          <w:lang w:val="fr-FR"/>
        </w:rPr>
        <w:t>.  </w:t>
      </w:r>
      <w:r w:rsidR="00CC4AD1">
        <w:rPr>
          <w:lang w:val="fr-FR"/>
        </w:rPr>
        <w:t>Dans son rapport annuel d</w:t>
      </w:r>
      <w:r w:rsidR="005A6B8A">
        <w:rPr>
          <w:lang w:val="fr-FR"/>
        </w:rPr>
        <w:t>’</w:t>
      </w:r>
      <w:r w:rsidR="00CC4AD1">
        <w:rPr>
          <w:lang w:val="fr-FR"/>
        </w:rPr>
        <w:t>activité 2012</w:t>
      </w:r>
      <w:r w:rsidR="00D33BBB">
        <w:rPr>
          <w:lang w:val="fr-FR"/>
        </w:rPr>
        <w:t>,</w:t>
      </w:r>
      <w:r w:rsidR="00CC4AD1">
        <w:rPr>
          <w:lang w:val="fr-FR"/>
        </w:rPr>
        <w:t xml:space="preserve"> le contrôleur général des lieux de privation et de liberté</w:t>
      </w:r>
      <w:r w:rsidR="005565E8">
        <w:rPr>
          <w:lang w:val="fr-FR"/>
        </w:rPr>
        <w:t xml:space="preserve"> (CGLPL)</w:t>
      </w:r>
      <w:r w:rsidR="00CC4AD1">
        <w:rPr>
          <w:lang w:val="fr-FR"/>
        </w:rPr>
        <w:t xml:space="preserve"> consacre un chapitre </w:t>
      </w:r>
      <w:r w:rsidR="00D33BBB">
        <w:rPr>
          <w:lang w:val="fr-FR"/>
        </w:rPr>
        <w:t>« vieillesse</w:t>
      </w:r>
      <w:r w:rsidR="00DA011E">
        <w:rPr>
          <w:lang w:val="fr-FR"/>
        </w:rPr>
        <w:t>,</w:t>
      </w:r>
      <w:r w:rsidR="00D33BBB">
        <w:rPr>
          <w:lang w:val="fr-FR"/>
        </w:rPr>
        <w:t xml:space="preserve"> invalidité et handicap en prison »</w:t>
      </w:r>
      <w:r w:rsidR="00E83919">
        <w:rPr>
          <w:lang w:val="fr-FR"/>
        </w:rPr>
        <w:t xml:space="preserve"> dans lequel</w:t>
      </w:r>
      <w:r w:rsidR="0099161E">
        <w:rPr>
          <w:lang w:val="fr-FR"/>
        </w:rPr>
        <w:t xml:space="preserve"> </w:t>
      </w:r>
      <w:r w:rsidR="00E83919">
        <w:rPr>
          <w:lang w:val="fr-FR"/>
        </w:rPr>
        <w:t>il fait le constat que ces populations sont exclues du fait même de l</w:t>
      </w:r>
      <w:r w:rsidR="005A6B8A">
        <w:rPr>
          <w:lang w:val="fr-FR"/>
        </w:rPr>
        <w:t>’</w:t>
      </w:r>
      <w:r w:rsidR="00E83919">
        <w:rPr>
          <w:lang w:val="fr-FR"/>
        </w:rPr>
        <w:t>architecture des prisons et de l</w:t>
      </w:r>
      <w:r w:rsidR="005A6B8A">
        <w:rPr>
          <w:lang w:val="fr-FR"/>
        </w:rPr>
        <w:t>’</w:t>
      </w:r>
      <w:r w:rsidR="00E83919">
        <w:rPr>
          <w:lang w:val="fr-FR"/>
        </w:rPr>
        <w:t>organisation de la vie quotidienne en prison. Il explique que les cellules à mobilité réduite sont souvent situées au rez</w:t>
      </w:r>
      <w:r w:rsidR="001E02F5">
        <w:rPr>
          <w:lang w:val="fr-FR"/>
        </w:rPr>
        <w:t>-</w:t>
      </w:r>
      <w:r w:rsidR="00E83919">
        <w:rPr>
          <w:lang w:val="fr-FR"/>
        </w:rPr>
        <w:t>de</w:t>
      </w:r>
      <w:r w:rsidR="001E02F5">
        <w:rPr>
          <w:lang w:val="fr-FR"/>
        </w:rPr>
        <w:t>-</w:t>
      </w:r>
      <w:r w:rsidR="00E83919">
        <w:rPr>
          <w:lang w:val="fr-FR"/>
        </w:rPr>
        <w:t>chaussée, réservé</w:t>
      </w:r>
      <w:r w:rsidR="00E76F4E">
        <w:rPr>
          <w:lang w:val="fr-FR"/>
        </w:rPr>
        <w:t>es</w:t>
      </w:r>
      <w:r w:rsidR="00E83919">
        <w:rPr>
          <w:lang w:val="fr-FR"/>
        </w:rPr>
        <w:t xml:space="preserve"> aux personnes placées en régime dit « portes fermées », ce qui ne </w:t>
      </w:r>
      <w:r w:rsidR="005565E8">
        <w:rPr>
          <w:lang w:val="fr-FR"/>
        </w:rPr>
        <w:t>favorise aucune communication. L</w:t>
      </w:r>
      <w:r w:rsidR="00E83919">
        <w:rPr>
          <w:lang w:val="fr-FR"/>
        </w:rPr>
        <w:t xml:space="preserve">e rythme de vie est </w:t>
      </w:r>
      <w:r w:rsidR="005565E8">
        <w:rPr>
          <w:lang w:val="fr-FR"/>
        </w:rPr>
        <w:t xml:space="preserve">également </w:t>
      </w:r>
      <w:r w:rsidR="00E83919">
        <w:rPr>
          <w:lang w:val="fr-FR"/>
        </w:rPr>
        <w:t>source d</w:t>
      </w:r>
      <w:r w:rsidR="005A6B8A">
        <w:rPr>
          <w:lang w:val="fr-FR"/>
        </w:rPr>
        <w:t>’</w:t>
      </w:r>
      <w:r w:rsidR="00E83919">
        <w:rPr>
          <w:lang w:val="fr-FR"/>
        </w:rPr>
        <w:t xml:space="preserve">angoisse : </w:t>
      </w:r>
      <w:r w:rsidR="005565E8">
        <w:rPr>
          <w:lang w:val="fr-FR"/>
        </w:rPr>
        <w:t>« </w:t>
      </w:r>
      <w:r w:rsidR="00E83919">
        <w:rPr>
          <w:lang w:val="fr-FR"/>
        </w:rPr>
        <w:t>peur de la confrontation à la violence, peur d</w:t>
      </w:r>
      <w:r w:rsidR="005A6B8A">
        <w:rPr>
          <w:lang w:val="fr-FR"/>
        </w:rPr>
        <w:t>’</w:t>
      </w:r>
      <w:r w:rsidR="00E83919">
        <w:rPr>
          <w:lang w:val="fr-FR"/>
        </w:rPr>
        <w:t>une population</w:t>
      </w:r>
      <w:r w:rsidR="005565E8">
        <w:rPr>
          <w:lang w:val="fr-FR"/>
        </w:rPr>
        <w:t xml:space="preserve"> majoritairement</w:t>
      </w:r>
      <w:r w:rsidR="00E83919">
        <w:rPr>
          <w:lang w:val="fr-FR"/>
        </w:rPr>
        <w:t xml:space="preserve"> jeune, peur d</w:t>
      </w:r>
      <w:r w:rsidR="005A6B8A">
        <w:rPr>
          <w:lang w:val="fr-FR"/>
        </w:rPr>
        <w:t>’</w:t>
      </w:r>
      <w:r w:rsidR="00E83919">
        <w:rPr>
          <w:lang w:val="fr-FR"/>
        </w:rPr>
        <w:t>aller en</w:t>
      </w:r>
      <w:r w:rsidR="005565E8">
        <w:rPr>
          <w:lang w:val="fr-FR"/>
        </w:rPr>
        <w:t xml:space="preserve"> cours de</w:t>
      </w:r>
      <w:r w:rsidR="00E83919">
        <w:rPr>
          <w:lang w:val="fr-FR"/>
        </w:rPr>
        <w:t xml:space="preserve"> promenade. L</w:t>
      </w:r>
      <w:r w:rsidR="005A6B8A">
        <w:rPr>
          <w:lang w:val="fr-FR"/>
        </w:rPr>
        <w:t>’</w:t>
      </w:r>
      <w:r w:rsidR="00E83919">
        <w:rPr>
          <w:lang w:val="fr-FR"/>
        </w:rPr>
        <w:t>ennui aussi, parce que l</w:t>
      </w:r>
      <w:r w:rsidR="005A6B8A">
        <w:rPr>
          <w:lang w:val="fr-FR"/>
        </w:rPr>
        <w:t>’</w:t>
      </w:r>
      <w:r w:rsidR="00E83919">
        <w:rPr>
          <w:lang w:val="fr-FR"/>
        </w:rPr>
        <w:t>activité professionnelle ne leur est plus accessible</w:t>
      </w:r>
      <w:r w:rsidR="003232D7">
        <w:rPr>
          <w:lang w:val="fr-FR"/>
        </w:rPr>
        <w:t xml:space="preserve"> et les activités mis en place ne sont pas en adéquation avec leur état physique. L</w:t>
      </w:r>
      <w:r w:rsidR="005A6B8A">
        <w:rPr>
          <w:lang w:val="fr-FR"/>
        </w:rPr>
        <w:t>’</w:t>
      </w:r>
      <w:r w:rsidR="003232D7">
        <w:rPr>
          <w:lang w:val="fr-FR"/>
        </w:rPr>
        <w:t>humiliation de la dépendance enfin. Si de nombreux établissements ont signé des conventions avec des associations d</w:t>
      </w:r>
      <w:r w:rsidR="005A6B8A">
        <w:rPr>
          <w:lang w:val="fr-FR"/>
        </w:rPr>
        <w:t>’</w:t>
      </w:r>
      <w:r w:rsidR="003232D7">
        <w:rPr>
          <w:lang w:val="fr-FR"/>
        </w:rPr>
        <w:t>aide à la personne</w:t>
      </w:r>
      <w:r w:rsidR="00E13CD0">
        <w:rPr>
          <w:lang w:val="fr-FR"/>
        </w:rPr>
        <w:t>,</w:t>
      </w:r>
      <w:r w:rsidR="003232D7">
        <w:rPr>
          <w:lang w:val="fr-FR"/>
        </w:rPr>
        <w:t xml:space="preserve"> on trouve encore trop de prisons où ce sont les détenus affectés au service général, les « auxi », qui font office de « tierce personne » ou d</w:t>
      </w:r>
      <w:r w:rsidR="005A6B8A">
        <w:rPr>
          <w:lang w:val="fr-FR"/>
        </w:rPr>
        <w:t>’</w:t>
      </w:r>
      <w:r w:rsidR="003232D7">
        <w:rPr>
          <w:lang w:val="fr-FR"/>
        </w:rPr>
        <w:t>aide-ménagère ; situation inacceptable en raison des risques de chantage, de l</w:t>
      </w:r>
      <w:r w:rsidR="005A6B8A">
        <w:rPr>
          <w:lang w:val="fr-FR"/>
        </w:rPr>
        <w:t>’</w:t>
      </w:r>
      <w:r w:rsidR="003232D7">
        <w:rPr>
          <w:lang w:val="fr-FR"/>
        </w:rPr>
        <w:t>absence de formation et rémunération adaptée</w:t>
      </w:r>
      <w:r w:rsidR="005565E8">
        <w:rPr>
          <w:lang w:val="fr-FR"/>
        </w:rPr>
        <w:t> »</w:t>
      </w:r>
      <w:r w:rsidR="003232D7">
        <w:rPr>
          <w:lang w:val="fr-FR"/>
        </w:rPr>
        <w:t>.</w:t>
      </w:r>
    </w:p>
    <w:p w:rsidR="00067570" w:rsidRDefault="005565E8" w:rsidP="001E02F5">
      <w:pPr>
        <w:pStyle w:val="ECHRPara"/>
        <w:rPr>
          <w:lang w:val="fr-FR"/>
        </w:rPr>
      </w:pPr>
      <w:r>
        <w:rPr>
          <w:lang w:val="fr-FR"/>
        </w:rPr>
        <w:t xml:space="preserve">Le CGPLP </w:t>
      </w:r>
      <w:r w:rsidR="003232D7">
        <w:rPr>
          <w:lang w:val="fr-FR"/>
        </w:rPr>
        <w:t>recommande de repenser l</w:t>
      </w:r>
      <w:r w:rsidR="005A6B8A">
        <w:rPr>
          <w:lang w:val="fr-FR"/>
        </w:rPr>
        <w:t>’</w:t>
      </w:r>
      <w:r w:rsidR="003232D7">
        <w:rPr>
          <w:lang w:val="fr-FR"/>
        </w:rPr>
        <w:t>architecture et l</w:t>
      </w:r>
      <w:r w:rsidR="005A6B8A">
        <w:rPr>
          <w:lang w:val="fr-FR"/>
        </w:rPr>
        <w:t>’</w:t>
      </w:r>
      <w:r w:rsidR="003232D7">
        <w:rPr>
          <w:lang w:val="fr-FR"/>
        </w:rPr>
        <w:t>organisation de la vie en détention</w:t>
      </w:r>
      <w:r>
        <w:rPr>
          <w:lang w:val="fr-FR"/>
        </w:rPr>
        <w:t>,</w:t>
      </w:r>
      <w:r w:rsidR="003232D7">
        <w:rPr>
          <w:lang w:val="fr-FR"/>
        </w:rPr>
        <w:t xml:space="preserve"> mais </w:t>
      </w:r>
      <w:r>
        <w:rPr>
          <w:lang w:val="fr-FR"/>
        </w:rPr>
        <w:t>souligne que c</w:t>
      </w:r>
      <w:r w:rsidR="005A6B8A">
        <w:rPr>
          <w:lang w:val="fr-FR"/>
        </w:rPr>
        <w:t>’</w:t>
      </w:r>
      <w:r>
        <w:rPr>
          <w:lang w:val="fr-FR"/>
        </w:rPr>
        <w:t>est</w:t>
      </w:r>
      <w:r w:rsidR="003232D7">
        <w:rPr>
          <w:lang w:val="fr-FR"/>
        </w:rPr>
        <w:t xml:space="preserve"> la mise en œuvre de la peine en milieu ouvert pour ces populations</w:t>
      </w:r>
      <w:r>
        <w:rPr>
          <w:lang w:val="fr-FR"/>
        </w:rPr>
        <w:t xml:space="preserve"> </w:t>
      </w:r>
      <w:r w:rsidR="00FD1CEA">
        <w:rPr>
          <w:lang w:val="fr-FR"/>
        </w:rPr>
        <w:t>à laquelle il convient de réfléchir</w:t>
      </w:r>
      <w:r w:rsidR="003232D7">
        <w:rPr>
          <w:lang w:val="fr-FR"/>
        </w:rPr>
        <w:t xml:space="preserve">. Il préconise par ailleurs </w:t>
      </w:r>
      <w:r>
        <w:rPr>
          <w:lang w:val="fr-FR"/>
        </w:rPr>
        <w:t>« </w:t>
      </w:r>
      <w:r w:rsidR="003232D7">
        <w:rPr>
          <w:lang w:val="fr-FR"/>
        </w:rPr>
        <w:t>de mieux adapter la suspension de peine pour raison médicale à la réalité des situations qui peuvent en relever</w:t>
      </w:r>
      <w:r>
        <w:rPr>
          <w:lang w:val="fr-FR"/>
        </w:rPr>
        <w:t> »</w:t>
      </w:r>
      <w:r w:rsidR="003232D7">
        <w:rPr>
          <w:lang w:val="fr-FR"/>
        </w:rPr>
        <w:t xml:space="preserve">. </w:t>
      </w:r>
      <w:r w:rsidR="00E76F4E">
        <w:rPr>
          <w:lang w:val="fr-FR"/>
        </w:rPr>
        <w:t>À</w:t>
      </w:r>
      <w:r w:rsidR="003232D7">
        <w:rPr>
          <w:lang w:val="fr-FR"/>
        </w:rPr>
        <w:t xml:space="preserve"> cet égard, il dénonce notamment les conditions restrictives posées par </w:t>
      </w:r>
      <w:r>
        <w:rPr>
          <w:lang w:val="fr-FR"/>
        </w:rPr>
        <w:t>l</w:t>
      </w:r>
      <w:r w:rsidR="005A6B8A">
        <w:rPr>
          <w:lang w:val="fr-FR"/>
        </w:rPr>
        <w:t>’</w:t>
      </w:r>
      <w:r>
        <w:rPr>
          <w:lang w:val="fr-FR"/>
        </w:rPr>
        <w:t>article 720-1-1 du CPP</w:t>
      </w:r>
      <w:r w:rsidR="001B4B0C">
        <w:rPr>
          <w:lang w:val="fr-FR"/>
        </w:rPr>
        <w:t xml:space="preserve"> qui amènent à n</w:t>
      </w:r>
      <w:r w:rsidR="005A6B8A">
        <w:rPr>
          <w:lang w:val="fr-FR"/>
        </w:rPr>
        <w:t>’</w:t>
      </w:r>
      <w:r w:rsidR="001B4B0C">
        <w:rPr>
          <w:lang w:val="fr-FR"/>
        </w:rPr>
        <w:t>accorder une suspension de peine que dans des cas d</w:t>
      </w:r>
      <w:r w:rsidR="005A6B8A">
        <w:rPr>
          <w:lang w:val="fr-FR"/>
        </w:rPr>
        <w:t>’</w:t>
      </w:r>
      <w:r w:rsidR="001B4B0C">
        <w:rPr>
          <w:lang w:val="fr-FR"/>
        </w:rPr>
        <w:t xml:space="preserve">une extrême gravité, à court terme. Il </w:t>
      </w:r>
      <w:r w:rsidR="0033441D">
        <w:rPr>
          <w:lang w:val="fr-FR"/>
        </w:rPr>
        <w:t>ajoute « qu</w:t>
      </w:r>
      <w:r w:rsidR="005A6B8A">
        <w:rPr>
          <w:lang w:val="fr-FR"/>
        </w:rPr>
        <w:t>’</w:t>
      </w:r>
      <w:r w:rsidR="0033441D">
        <w:rPr>
          <w:lang w:val="fr-FR"/>
        </w:rPr>
        <w:t xml:space="preserve">il faut </w:t>
      </w:r>
      <w:r w:rsidR="001B4B0C">
        <w:rPr>
          <w:lang w:val="fr-FR"/>
        </w:rPr>
        <w:t>note</w:t>
      </w:r>
      <w:r w:rsidR="0033441D">
        <w:rPr>
          <w:lang w:val="fr-FR"/>
        </w:rPr>
        <w:t>r</w:t>
      </w:r>
      <w:r w:rsidR="001B4B0C">
        <w:rPr>
          <w:lang w:val="fr-FR"/>
        </w:rPr>
        <w:t xml:space="preserve"> que</w:t>
      </w:r>
      <w:r w:rsidR="00997779">
        <w:rPr>
          <w:lang w:val="fr-FR"/>
        </w:rPr>
        <w:t xml:space="preserve"> les experts auxquels il est demandé d</w:t>
      </w:r>
      <w:r w:rsidR="005A6B8A">
        <w:rPr>
          <w:lang w:val="fr-FR"/>
        </w:rPr>
        <w:t>’</w:t>
      </w:r>
      <w:r w:rsidR="00997779">
        <w:rPr>
          <w:lang w:val="fr-FR"/>
        </w:rPr>
        <w:t>examiner la compatibilité de l</w:t>
      </w:r>
      <w:r w:rsidR="005A6B8A">
        <w:rPr>
          <w:lang w:val="fr-FR"/>
        </w:rPr>
        <w:t>’</w:t>
      </w:r>
      <w:r w:rsidR="00997779">
        <w:rPr>
          <w:lang w:val="fr-FR"/>
        </w:rPr>
        <w:t>état de santé de la personne détenue avec son maintien en détention, ne tiennent pas suffisamment compte des conditions matérielles d</w:t>
      </w:r>
      <w:r w:rsidR="005A6B8A">
        <w:rPr>
          <w:lang w:val="fr-FR"/>
        </w:rPr>
        <w:t>’</w:t>
      </w:r>
      <w:r w:rsidR="00997779">
        <w:rPr>
          <w:lang w:val="fr-FR"/>
        </w:rPr>
        <w:t>incarcération, tout simplement parce qu</w:t>
      </w:r>
      <w:r w:rsidR="005A6B8A">
        <w:rPr>
          <w:lang w:val="fr-FR"/>
        </w:rPr>
        <w:t>’</w:t>
      </w:r>
      <w:r w:rsidR="00997779">
        <w:rPr>
          <w:lang w:val="fr-FR"/>
        </w:rPr>
        <w:t>ils en ignorent parfaitement les contraintes</w:t>
      </w:r>
      <w:r w:rsidR="00A62798">
        <w:rPr>
          <w:lang w:val="fr-FR"/>
        </w:rPr>
        <w:t xml:space="preserve"> ». </w:t>
      </w:r>
      <w:r w:rsidR="0099161E">
        <w:rPr>
          <w:lang w:val="fr-FR"/>
        </w:rPr>
        <w:t>Il préconise</w:t>
      </w:r>
      <w:r w:rsidR="0033441D">
        <w:rPr>
          <w:lang w:val="fr-FR"/>
        </w:rPr>
        <w:t xml:space="preserve"> une modification de l</w:t>
      </w:r>
      <w:r w:rsidR="005A6B8A">
        <w:rPr>
          <w:lang w:val="fr-FR"/>
        </w:rPr>
        <w:t>’</w:t>
      </w:r>
      <w:r w:rsidR="0033441D">
        <w:rPr>
          <w:lang w:val="fr-FR"/>
        </w:rPr>
        <w:t xml:space="preserve">article 720-1-1 précité par le législateur « pour y introduire, </w:t>
      </w:r>
      <w:r w:rsidR="0099161E">
        <w:rPr>
          <w:lang w:val="fr-FR"/>
        </w:rPr>
        <w:t>outre le pronostic vital et l</w:t>
      </w:r>
      <w:r w:rsidR="005A6B8A">
        <w:rPr>
          <w:lang w:val="fr-FR"/>
        </w:rPr>
        <w:t>’</w:t>
      </w:r>
      <w:r w:rsidR="0099161E">
        <w:rPr>
          <w:lang w:val="fr-FR"/>
        </w:rPr>
        <w:t>incompatibilité durable de l</w:t>
      </w:r>
      <w:r w:rsidR="005A6B8A">
        <w:rPr>
          <w:lang w:val="fr-FR"/>
        </w:rPr>
        <w:t>’</w:t>
      </w:r>
      <w:r w:rsidR="0099161E">
        <w:rPr>
          <w:lang w:val="fr-FR"/>
        </w:rPr>
        <w:t>état de santé avec la détention, une troisième possibilité, celle de fonder une demande de suspension de peine dès lors que les soins que la personne doit recevoir, non seulement ne peuvent pas être dispensés en détention mais encore ne peuvent pas faire l</w:t>
      </w:r>
      <w:r w:rsidR="005A6B8A">
        <w:rPr>
          <w:lang w:val="fr-FR"/>
        </w:rPr>
        <w:t>’</w:t>
      </w:r>
      <w:r w:rsidR="0099161E">
        <w:rPr>
          <w:lang w:val="fr-FR"/>
        </w:rPr>
        <w:t>objet de permission de sortir ou d</w:t>
      </w:r>
      <w:r w:rsidR="005A6B8A">
        <w:rPr>
          <w:lang w:val="fr-FR"/>
        </w:rPr>
        <w:t>’</w:t>
      </w:r>
      <w:r w:rsidR="0099161E">
        <w:rPr>
          <w:lang w:val="fr-FR"/>
        </w:rPr>
        <w:t>extraction en raison de leur caractère répétitif et régulier</w:t>
      </w:r>
      <w:r w:rsidR="0033441D">
        <w:rPr>
          <w:lang w:val="fr-FR"/>
        </w:rPr>
        <w:t> »</w:t>
      </w:r>
      <w:r w:rsidR="00FD1CEA">
        <w:rPr>
          <w:lang w:val="fr-FR"/>
        </w:rPr>
        <w:t>.</w:t>
      </w:r>
    </w:p>
    <w:p w:rsidR="00067570" w:rsidRDefault="0034298A" w:rsidP="008B2528">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30</w:t>
      </w:r>
      <w:r>
        <w:rPr>
          <w:lang w:val="fr-FR"/>
        </w:rPr>
        <w:fldChar w:fldCharType="end"/>
      </w:r>
      <w:r>
        <w:rPr>
          <w:lang w:val="fr-FR"/>
        </w:rPr>
        <w:t>.  </w:t>
      </w:r>
      <w:r w:rsidR="00D33BBB">
        <w:rPr>
          <w:lang w:val="fr-FR"/>
        </w:rPr>
        <w:t>Le 20 novembre 2013, le groupe de travail interministériel Justice</w:t>
      </w:r>
      <w:r w:rsidR="001E65C9">
        <w:rPr>
          <w:lang w:val="fr-FR"/>
        </w:rPr>
        <w:t>/</w:t>
      </w:r>
      <w:r w:rsidR="00D33BBB">
        <w:rPr>
          <w:lang w:val="fr-FR"/>
        </w:rPr>
        <w:t xml:space="preserve">Santé </w:t>
      </w:r>
      <w:r w:rsidR="001E65C9">
        <w:rPr>
          <w:lang w:val="fr-FR"/>
        </w:rPr>
        <w:t xml:space="preserve">a </w:t>
      </w:r>
      <w:r w:rsidR="00D33BBB">
        <w:rPr>
          <w:lang w:val="fr-FR"/>
        </w:rPr>
        <w:t>remis au garde d</w:t>
      </w:r>
      <w:r w:rsidR="001E65C9">
        <w:rPr>
          <w:lang w:val="fr-FR"/>
        </w:rPr>
        <w:t>es Sceaux et au ministre de la S</w:t>
      </w:r>
      <w:r w:rsidR="00D33BBB">
        <w:rPr>
          <w:lang w:val="fr-FR"/>
        </w:rPr>
        <w:t>anté</w:t>
      </w:r>
      <w:r w:rsidR="002374BD">
        <w:rPr>
          <w:lang w:val="fr-FR"/>
        </w:rPr>
        <w:t xml:space="preserve"> un rapport sur les « Aménagements de peine et suspensions de peine pour raison médicale » qui préconise notamment d</w:t>
      </w:r>
      <w:r w:rsidR="005A6B8A">
        <w:rPr>
          <w:lang w:val="fr-FR"/>
        </w:rPr>
        <w:t>’</w:t>
      </w:r>
      <w:r w:rsidR="002374BD">
        <w:rPr>
          <w:lang w:val="fr-FR"/>
        </w:rPr>
        <w:t>élargir le champ d</w:t>
      </w:r>
      <w:r w:rsidR="005A6B8A">
        <w:rPr>
          <w:lang w:val="fr-FR"/>
        </w:rPr>
        <w:t>’</w:t>
      </w:r>
      <w:r w:rsidR="002374BD">
        <w:rPr>
          <w:lang w:val="fr-FR"/>
        </w:rPr>
        <w:t>application de la suspension de peine pour raison médicale en prenant mieux en compte le handicap dans le cadre des demandes : « le grou</w:t>
      </w:r>
      <w:r w:rsidR="004C7828">
        <w:rPr>
          <w:lang w:val="fr-FR"/>
        </w:rPr>
        <w:t>pe de travail s</w:t>
      </w:r>
      <w:r w:rsidR="005A6B8A">
        <w:rPr>
          <w:lang w:val="fr-FR"/>
        </w:rPr>
        <w:t>’</w:t>
      </w:r>
      <w:r w:rsidR="004C7828">
        <w:rPr>
          <w:lang w:val="fr-FR"/>
        </w:rPr>
        <w:t xml:space="preserve">accorde sur la </w:t>
      </w:r>
      <w:r w:rsidR="002374BD">
        <w:rPr>
          <w:lang w:val="fr-FR"/>
        </w:rPr>
        <w:t>n</w:t>
      </w:r>
      <w:r w:rsidR="004C7828">
        <w:rPr>
          <w:lang w:val="fr-FR"/>
        </w:rPr>
        <w:t>é</w:t>
      </w:r>
      <w:r w:rsidR="002374BD">
        <w:rPr>
          <w:lang w:val="fr-FR"/>
        </w:rPr>
        <w:t xml:space="preserve">cessité de préciser dans le guide </w:t>
      </w:r>
      <w:r w:rsidR="004C7828">
        <w:rPr>
          <w:lang w:val="fr-FR"/>
        </w:rPr>
        <w:t>pratique que la suspension de peine pour raison médicale est applicable à l</w:t>
      </w:r>
      <w:r w:rsidR="005A6B8A">
        <w:rPr>
          <w:lang w:val="fr-FR"/>
        </w:rPr>
        <w:t>’</w:t>
      </w:r>
      <w:r w:rsidR="004C7828">
        <w:rPr>
          <w:lang w:val="fr-FR"/>
        </w:rPr>
        <w:t>égard des personnes dont le handicap est durablement incompatible avec la détention et qu</w:t>
      </w:r>
      <w:r w:rsidR="005A6B8A">
        <w:rPr>
          <w:lang w:val="fr-FR"/>
        </w:rPr>
        <w:t>’</w:t>
      </w:r>
      <w:r w:rsidR="004C7828">
        <w:rPr>
          <w:lang w:val="fr-FR"/>
        </w:rPr>
        <w:t>il convient, dans cette appréciation, de bien prendre en compte les conditions effectives de détention ordinaire (rappel de la jurisprud</w:t>
      </w:r>
      <w:r w:rsidR="00C27879">
        <w:rPr>
          <w:lang w:val="fr-FR"/>
        </w:rPr>
        <w:t>ence de la Cour européenne des d</w:t>
      </w:r>
      <w:r w:rsidR="004C7828">
        <w:rPr>
          <w:lang w:val="fr-FR"/>
        </w:rPr>
        <w:t>roits de l</w:t>
      </w:r>
      <w:r w:rsidR="005A6B8A">
        <w:rPr>
          <w:lang w:val="fr-FR"/>
        </w:rPr>
        <w:t>’</w:t>
      </w:r>
      <w:r w:rsidR="004C7828">
        <w:rPr>
          <w:lang w:val="fr-FR"/>
        </w:rPr>
        <w:t>homme et de la Cour de cassation). Il est recommandé que les experts bénéficient de l</w:t>
      </w:r>
      <w:r w:rsidR="005A6B8A">
        <w:rPr>
          <w:lang w:val="fr-FR"/>
        </w:rPr>
        <w:t>’</w:t>
      </w:r>
      <w:r w:rsidR="004C7828">
        <w:rPr>
          <w:lang w:val="fr-FR"/>
        </w:rPr>
        <w:t>ensemble des moyens afin de vérifier si l</w:t>
      </w:r>
      <w:r w:rsidR="005A6B8A">
        <w:rPr>
          <w:lang w:val="fr-FR"/>
        </w:rPr>
        <w:t>’</w:t>
      </w:r>
      <w:r w:rsidR="004C7828">
        <w:rPr>
          <w:lang w:val="fr-FR"/>
        </w:rPr>
        <w:t>état de santé de la personne est compatible avec les conditions de détention ordinaire. Si certains membres du groupe de travail souhaitaient qu</w:t>
      </w:r>
      <w:r w:rsidR="005A6B8A">
        <w:rPr>
          <w:lang w:val="fr-FR"/>
        </w:rPr>
        <w:t>’</w:t>
      </w:r>
      <w:r w:rsidR="004C7828">
        <w:rPr>
          <w:lang w:val="fr-FR"/>
        </w:rPr>
        <w:t>il soit expressément fait référence au handicap dans le texte de l</w:t>
      </w:r>
      <w:r w:rsidR="005A6B8A">
        <w:rPr>
          <w:lang w:val="fr-FR"/>
        </w:rPr>
        <w:t>’</w:t>
      </w:r>
      <w:r w:rsidR="004C7828">
        <w:rPr>
          <w:lang w:val="fr-FR"/>
        </w:rPr>
        <w:t>article 720-1-1 du CPP, d</w:t>
      </w:r>
      <w:r w:rsidR="005A6B8A">
        <w:rPr>
          <w:lang w:val="fr-FR"/>
        </w:rPr>
        <w:t>’</w:t>
      </w:r>
      <w:r w:rsidR="004C7828">
        <w:rPr>
          <w:lang w:val="fr-FR"/>
        </w:rPr>
        <w:t>autres estiment que le handicap peut déjà être pris en compte en application des dispositions en vigueur ».</w:t>
      </w:r>
    </w:p>
    <w:p w:rsidR="00067570" w:rsidRDefault="00EA4DEF" w:rsidP="00A62798">
      <w:pPr>
        <w:pStyle w:val="ECHRHeading2"/>
        <w:rPr>
          <w:lang w:val="fr-FR"/>
        </w:rPr>
      </w:pPr>
      <w:r>
        <w:rPr>
          <w:lang w:val="fr-FR"/>
        </w:rPr>
        <w:t>B.  </w:t>
      </w:r>
      <w:r w:rsidR="00A62798">
        <w:rPr>
          <w:lang w:val="fr-FR"/>
        </w:rPr>
        <w:t>Dispositions pertinentes sur les soins de santé</w:t>
      </w:r>
    </w:p>
    <w:p w:rsidR="004B0266" w:rsidRPr="00321E9A" w:rsidRDefault="004B0266" w:rsidP="001E02F5">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31</w:t>
      </w:r>
      <w:r>
        <w:rPr>
          <w:lang w:val="fr-FR"/>
        </w:rPr>
        <w:fldChar w:fldCharType="end"/>
      </w:r>
      <w:r>
        <w:rPr>
          <w:lang w:val="fr-FR"/>
        </w:rPr>
        <w:t>.  </w:t>
      </w:r>
      <w:r w:rsidR="001E02F5" w:rsidRPr="001E02F5">
        <w:rPr>
          <w:lang w:val="fr-FR"/>
        </w:rPr>
        <w:t xml:space="preserve">Il est renvoyé aux arrêts </w:t>
      </w:r>
      <w:r w:rsidR="001E02F5" w:rsidRPr="001E02F5">
        <w:rPr>
          <w:i/>
          <w:lang w:val="fr-FR"/>
        </w:rPr>
        <w:t>Mouisel c. France</w:t>
      </w:r>
      <w:r w:rsidR="001E02F5" w:rsidRPr="001E02F5">
        <w:rPr>
          <w:lang w:val="fr-FR"/>
        </w:rPr>
        <w:t>, n</w:t>
      </w:r>
      <w:r w:rsidR="001E02F5" w:rsidRPr="001E02F5">
        <w:rPr>
          <w:vertAlign w:val="superscript"/>
          <w:lang w:val="fr-FR"/>
        </w:rPr>
        <w:t>o</w:t>
      </w:r>
      <w:r w:rsidR="001E02F5" w:rsidRPr="001E02F5">
        <w:rPr>
          <w:lang w:val="fr-FR"/>
        </w:rPr>
        <w:t xml:space="preserve"> 67263/01, § </w:t>
      </w:r>
      <w:r w:rsidR="001E02F5">
        <w:rPr>
          <w:lang w:val="fr-FR"/>
        </w:rPr>
        <w:t>26</w:t>
      </w:r>
      <w:r w:rsidR="001E02F5" w:rsidRPr="001E02F5">
        <w:rPr>
          <w:lang w:val="fr-FR"/>
        </w:rPr>
        <w:t>, CEDH 2002</w:t>
      </w:r>
      <w:r w:rsidR="001E02F5" w:rsidRPr="001E02F5">
        <w:rPr>
          <w:lang w:val="fr-FR"/>
        </w:rPr>
        <w:noBreakHyphen/>
        <w:t>IX</w:t>
      </w:r>
      <w:r w:rsidR="001E02F5">
        <w:rPr>
          <w:lang w:val="fr-FR"/>
        </w:rPr>
        <w:t>)</w:t>
      </w:r>
      <w:r w:rsidR="001E02F5" w:rsidRPr="001E02F5">
        <w:rPr>
          <w:lang w:val="fr-FR"/>
        </w:rPr>
        <w:t xml:space="preserve"> et </w:t>
      </w:r>
      <w:r w:rsidR="001E02F5" w:rsidRPr="001E02F5">
        <w:rPr>
          <w:i/>
          <w:lang w:val="fr-FR"/>
        </w:rPr>
        <w:t>Rivière c. France</w:t>
      </w:r>
      <w:r w:rsidR="001E02F5" w:rsidRPr="001E02F5">
        <w:rPr>
          <w:lang w:val="fr-FR"/>
        </w:rPr>
        <w:t xml:space="preserve"> </w:t>
      </w:r>
      <w:r w:rsidR="009C217B">
        <w:rPr>
          <w:lang w:val="fr-FR"/>
        </w:rPr>
        <w:t>(</w:t>
      </w:r>
      <w:r w:rsidR="001E02F5" w:rsidRPr="001E02F5">
        <w:rPr>
          <w:lang w:val="fr-FR"/>
        </w:rPr>
        <w:t>n</w:t>
      </w:r>
      <w:r w:rsidR="001E02F5" w:rsidRPr="001E02F5">
        <w:rPr>
          <w:vertAlign w:val="superscript"/>
          <w:lang w:val="fr-FR"/>
        </w:rPr>
        <w:t>o</w:t>
      </w:r>
      <w:r w:rsidR="001E02F5" w:rsidRPr="001E02F5">
        <w:rPr>
          <w:lang w:val="fr-FR"/>
        </w:rPr>
        <w:t xml:space="preserve"> 33834/03, §</w:t>
      </w:r>
      <w:r w:rsidR="001E02F5">
        <w:rPr>
          <w:lang w:val="fr-FR"/>
        </w:rPr>
        <w:t xml:space="preserve"> 29</w:t>
      </w:r>
      <w:r w:rsidR="001E02F5" w:rsidRPr="001E02F5">
        <w:rPr>
          <w:lang w:val="fr-FR"/>
        </w:rPr>
        <w:t>, 11 juillet 2006) pour les dispositions relatives aux soins de santé en prison.</w:t>
      </w:r>
      <w:r w:rsidR="00B06F2D">
        <w:rPr>
          <w:lang w:val="fr-FR"/>
        </w:rPr>
        <w:t xml:space="preserve"> </w:t>
      </w:r>
      <w:r w:rsidR="00B06F2D" w:rsidRPr="00321E9A">
        <w:rPr>
          <w:lang w:val="fr-FR"/>
        </w:rPr>
        <w:t>Il est rappelé que l</w:t>
      </w:r>
      <w:r w:rsidR="00443FF2" w:rsidRPr="00321E9A">
        <w:rPr>
          <w:lang w:val="fr-FR"/>
        </w:rPr>
        <w:t xml:space="preserve">a prise en charge sanitaire des personnes détenues dépend du service </w:t>
      </w:r>
      <w:r w:rsidR="00162078" w:rsidRPr="00321E9A">
        <w:rPr>
          <w:lang w:val="fr-FR"/>
        </w:rPr>
        <w:t xml:space="preserve">public </w:t>
      </w:r>
      <w:r w:rsidR="00443FF2" w:rsidRPr="00321E9A">
        <w:rPr>
          <w:lang w:val="fr-FR"/>
        </w:rPr>
        <w:t>hospitalier depuis la loi du 18 janvier 1994. L</w:t>
      </w:r>
      <w:r w:rsidR="00B06F2D" w:rsidRPr="00321E9A">
        <w:rPr>
          <w:lang w:val="fr-FR"/>
        </w:rPr>
        <w:t>es consultation</w:t>
      </w:r>
      <w:r w:rsidR="0089076C" w:rsidRPr="00321E9A">
        <w:rPr>
          <w:lang w:val="fr-FR"/>
        </w:rPr>
        <w:t>s</w:t>
      </w:r>
      <w:r w:rsidR="00B06F2D" w:rsidRPr="00321E9A">
        <w:rPr>
          <w:lang w:val="fr-FR"/>
        </w:rPr>
        <w:t xml:space="preserve"> externes, les hospitalisations d</w:t>
      </w:r>
      <w:r w:rsidR="005A6B8A">
        <w:rPr>
          <w:lang w:val="fr-FR"/>
        </w:rPr>
        <w:t>’</w:t>
      </w:r>
      <w:r w:rsidR="00B06F2D" w:rsidRPr="00321E9A">
        <w:rPr>
          <w:lang w:val="fr-FR"/>
        </w:rPr>
        <w:t>urgence et de courtes durées sont effectuées dans l</w:t>
      </w:r>
      <w:r w:rsidR="005A6B8A">
        <w:rPr>
          <w:lang w:val="fr-FR"/>
        </w:rPr>
        <w:t>’</w:t>
      </w:r>
      <w:r w:rsidR="00B06F2D" w:rsidRPr="00321E9A">
        <w:rPr>
          <w:lang w:val="fr-FR"/>
        </w:rPr>
        <w:t>hôpital de rattachement de l</w:t>
      </w:r>
      <w:r w:rsidR="005A6B8A">
        <w:rPr>
          <w:lang w:val="fr-FR"/>
        </w:rPr>
        <w:t>’</w:t>
      </w:r>
      <w:r w:rsidR="00B06F2D" w:rsidRPr="00321E9A">
        <w:rPr>
          <w:lang w:val="fr-FR"/>
        </w:rPr>
        <w:t>Unité de consultations et de soins ambulatoires (UCSA)</w:t>
      </w:r>
      <w:r w:rsidR="009B295C" w:rsidRPr="00321E9A">
        <w:rPr>
          <w:lang w:val="fr-FR"/>
        </w:rPr>
        <w:t>, structure interne de l</w:t>
      </w:r>
      <w:r w:rsidR="005A6B8A">
        <w:rPr>
          <w:lang w:val="fr-FR"/>
        </w:rPr>
        <w:t>’</w:t>
      </w:r>
      <w:r w:rsidR="009B295C" w:rsidRPr="00321E9A">
        <w:rPr>
          <w:lang w:val="fr-FR"/>
        </w:rPr>
        <w:t>hôpital de rattachement implantée en détention. Les soins qui ne peuvent être assurés au sein de l</w:t>
      </w:r>
      <w:r w:rsidR="005A6B8A">
        <w:rPr>
          <w:lang w:val="fr-FR"/>
        </w:rPr>
        <w:t>’</w:t>
      </w:r>
      <w:r w:rsidR="009B295C" w:rsidRPr="00321E9A">
        <w:rPr>
          <w:lang w:val="fr-FR"/>
        </w:rPr>
        <w:t>UCSA sont administrés soit au sein de l</w:t>
      </w:r>
      <w:r w:rsidR="005A6B8A">
        <w:rPr>
          <w:lang w:val="fr-FR"/>
        </w:rPr>
        <w:t>’</w:t>
      </w:r>
      <w:r w:rsidR="009B295C" w:rsidRPr="00321E9A">
        <w:rPr>
          <w:lang w:val="fr-FR"/>
        </w:rPr>
        <w:t>hôpital de proximité, soit dans l</w:t>
      </w:r>
      <w:r w:rsidR="005A6B8A">
        <w:rPr>
          <w:lang w:val="fr-FR"/>
        </w:rPr>
        <w:t>’</w:t>
      </w:r>
      <w:r w:rsidR="009B295C" w:rsidRPr="00321E9A">
        <w:rPr>
          <w:lang w:val="fr-FR"/>
        </w:rPr>
        <w:t>une des huit unités hospitalières sécurisées interrégionales (UHSI) ou à l</w:t>
      </w:r>
      <w:r w:rsidR="005A6B8A">
        <w:rPr>
          <w:lang w:val="fr-FR"/>
        </w:rPr>
        <w:t>’</w:t>
      </w:r>
      <w:r w:rsidR="009B295C" w:rsidRPr="00321E9A">
        <w:rPr>
          <w:lang w:val="fr-FR"/>
        </w:rPr>
        <w:t>établissement pénitentiaire de santé national de Fresnes (EPSNF). Les UHSI ont une compétence médico-chirurgicale pour accueillir les personnes détenues adressées par les médecins de l</w:t>
      </w:r>
      <w:r w:rsidR="005A6B8A">
        <w:rPr>
          <w:lang w:val="fr-FR"/>
        </w:rPr>
        <w:t>’</w:t>
      </w:r>
      <w:r w:rsidR="009B295C" w:rsidRPr="00321E9A">
        <w:rPr>
          <w:lang w:val="fr-FR"/>
        </w:rPr>
        <w:t>UCSA pour des séjours de plus quarante-huit heures. L</w:t>
      </w:r>
      <w:r w:rsidR="005A6B8A">
        <w:rPr>
          <w:lang w:val="fr-FR"/>
        </w:rPr>
        <w:t>’</w:t>
      </w:r>
      <w:r w:rsidR="009B295C" w:rsidRPr="00321E9A">
        <w:rPr>
          <w:lang w:val="fr-FR"/>
        </w:rPr>
        <w:t>EPSNF dispose quant à lui de services de médecine, de soins de suite et de réadaptation, permettant une hospitalisation des détenus dont l</w:t>
      </w:r>
      <w:r w:rsidR="005A6B8A">
        <w:rPr>
          <w:lang w:val="fr-FR"/>
        </w:rPr>
        <w:t>’</w:t>
      </w:r>
      <w:r w:rsidR="009B295C" w:rsidRPr="00321E9A">
        <w:rPr>
          <w:lang w:val="fr-FR"/>
        </w:rPr>
        <w:t>état de santé nécessite une hospitalisation prolongée ou des soins de rééducation importants</w:t>
      </w:r>
      <w:r w:rsidR="00FF245C">
        <w:rPr>
          <w:lang w:val="fr-FR"/>
        </w:rPr>
        <w:t xml:space="preserve"> (v</w:t>
      </w:r>
      <w:r w:rsidR="0089076C" w:rsidRPr="00321E9A">
        <w:rPr>
          <w:lang w:val="fr-FR"/>
        </w:rPr>
        <w:t>oir le guide du prisonnier, Observatoire international des prisons, 2012, en sa partie « La médecine générale »).</w:t>
      </w:r>
      <w:r w:rsidR="00067570">
        <w:rPr>
          <w:lang w:val="fr-FR"/>
        </w:rPr>
        <w:t xml:space="preserve"> </w:t>
      </w:r>
      <w:r w:rsidR="007C096D" w:rsidRPr="00321E9A">
        <w:rPr>
          <w:lang w:val="fr-FR"/>
        </w:rPr>
        <w:t>Dans son rapport annuel</w:t>
      </w:r>
      <w:r w:rsidR="008D3075" w:rsidRPr="00321E9A">
        <w:rPr>
          <w:lang w:val="fr-FR"/>
        </w:rPr>
        <w:t xml:space="preserve"> de</w:t>
      </w:r>
      <w:r w:rsidR="007C096D" w:rsidRPr="00321E9A">
        <w:rPr>
          <w:lang w:val="fr-FR"/>
        </w:rPr>
        <w:t xml:space="preserve"> 2014, la Cour des comptes consacre un chapitre à « La santé des personnes détenues : des progrès encore indispensables », dans lequel </w:t>
      </w:r>
      <w:r w:rsidR="008D3075" w:rsidRPr="00321E9A">
        <w:rPr>
          <w:lang w:val="fr-FR"/>
        </w:rPr>
        <w:t>elle rappelle le dispositif d</w:t>
      </w:r>
      <w:r w:rsidR="005A6B8A">
        <w:rPr>
          <w:lang w:val="fr-FR"/>
        </w:rPr>
        <w:t>’</w:t>
      </w:r>
      <w:r w:rsidR="008D3075" w:rsidRPr="00321E9A">
        <w:rPr>
          <w:lang w:val="fr-FR"/>
        </w:rPr>
        <w:t>hospitalisation des personnes détenues et fait notamment valoir le « faible usage des capacité</w:t>
      </w:r>
      <w:r w:rsidR="003D421C" w:rsidRPr="00321E9A">
        <w:rPr>
          <w:lang w:val="fr-FR"/>
        </w:rPr>
        <w:t>s d</w:t>
      </w:r>
      <w:r w:rsidR="005A6B8A">
        <w:rPr>
          <w:lang w:val="fr-FR"/>
        </w:rPr>
        <w:t>’</w:t>
      </w:r>
      <w:r w:rsidR="003D421C" w:rsidRPr="00321E9A">
        <w:rPr>
          <w:lang w:val="fr-FR"/>
        </w:rPr>
        <w:t xml:space="preserve">hospitalisation somatique » et en particulier la sous-occupation des </w:t>
      </w:r>
      <w:r w:rsidR="008D3075" w:rsidRPr="00321E9A">
        <w:rPr>
          <w:lang w:val="fr-FR"/>
        </w:rPr>
        <w:t>UHSI.</w:t>
      </w:r>
      <w:r w:rsidR="003D421C" w:rsidRPr="00321E9A">
        <w:rPr>
          <w:lang w:val="fr-FR"/>
        </w:rPr>
        <w:t xml:space="preserve"> Le rapport évoque aussi « une démarche de santé trop souvent dépendante du fonctionnement pénitentiaire », pour conclure que « les rigidités et les contraintes du milieu pénitentiaire se conjuguent avec une offre de soins encore incomplète, des besoins de modernisation de locaux et d</w:t>
      </w:r>
      <w:r w:rsidR="005A6B8A">
        <w:rPr>
          <w:lang w:val="fr-FR"/>
        </w:rPr>
        <w:t>’</w:t>
      </w:r>
      <w:r w:rsidR="003D421C" w:rsidRPr="00321E9A">
        <w:rPr>
          <w:lang w:val="fr-FR"/>
        </w:rPr>
        <w:t>équipements non satisfaits et des modes de coopération entre acteurs fr</w:t>
      </w:r>
      <w:r w:rsidR="00905447" w:rsidRPr="00321E9A">
        <w:rPr>
          <w:lang w:val="fr-FR"/>
        </w:rPr>
        <w:t>agiles et inaboutis ».</w:t>
      </w:r>
      <w:r w:rsidR="00A07AE9" w:rsidRPr="00321E9A">
        <w:rPr>
          <w:lang w:val="fr-FR"/>
        </w:rPr>
        <w:t xml:space="preserve"> Le rapport appelle encore à « organiser plus fermement et plus clairement une politique de santé publique » en mobilisant les agences régionales de santé qui « évaluent et identifient les besoins sanitaires des personnes en détention. Elle</w:t>
      </w:r>
      <w:r w:rsidR="00440E90" w:rsidRPr="00321E9A">
        <w:rPr>
          <w:lang w:val="fr-FR"/>
        </w:rPr>
        <w:t>s</w:t>
      </w:r>
      <w:r w:rsidR="00A07AE9" w:rsidRPr="00321E9A">
        <w:rPr>
          <w:lang w:val="fr-FR"/>
        </w:rPr>
        <w:t xml:space="preserve"> définissent et régulent l</w:t>
      </w:r>
      <w:r w:rsidR="005A6B8A">
        <w:rPr>
          <w:lang w:val="fr-FR"/>
        </w:rPr>
        <w:t>’</w:t>
      </w:r>
      <w:r w:rsidR="00A07AE9" w:rsidRPr="00321E9A">
        <w:rPr>
          <w:lang w:val="fr-FR"/>
        </w:rPr>
        <w:t>offre de s</w:t>
      </w:r>
      <w:r w:rsidR="009E5D9E" w:rsidRPr="00321E9A">
        <w:rPr>
          <w:lang w:val="fr-FR"/>
        </w:rPr>
        <w:t>oins en milieu pénitentiaire ».</w:t>
      </w:r>
    </w:p>
    <w:p w:rsidR="00067570" w:rsidRDefault="0067769E" w:rsidP="004E3356">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32</w:t>
      </w:r>
      <w:r>
        <w:rPr>
          <w:lang w:val="fr-FR"/>
        </w:rPr>
        <w:fldChar w:fldCharType="end"/>
      </w:r>
      <w:r>
        <w:rPr>
          <w:lang w:val="fr-FR"/>
        </w:rPr>
        <w:t>.  </w:t>
      </w:r>
      <w:r w:rsidR="00D76228">
        <w:rPr>
          <w:lang w:val="fr-FR"/>
        </w:rPr>
        <w:t>Selon l</w:t>
      </w:r>
      <w:r w:rsidR="005A6B8A">
        <w:rPr>
          <w:lang w:val="fr-FR"/>
        </w:rPr>
        <w:t>’</w:t>
      </w:r>
      <w:r w:rsidR="00D76228">
        <w:rPr>
          <w:lang w:val="fr-FR"/>
        </w:rPr>
        <w:t>article D</w:t>
      </w:r>
      <w:r w:rsidR="00CC67E9">
        <w:rPr>
          <w:lang w:val="fr-FR"/>
        </w:rPr>
        <w:t>.</w:t>
      </w:r>
      <w:r w:rsidR="00D76228">
        <w:rPr>
          <w:lang w:val="fr-FR"/>
        </w:rPr>
        <w:t xml:space="preserve"> 82 du CPP, l</w:t>
      </w:r>
      <w:r w:rsidR="005A6B8A">
        <w:rPr>
          <w:lang w:val="fr-FR"/>
        </w:rPr>
        <w:t>’</w:t>
      </w:r>
      <w:r w:rsidR="00D76228">
        <w:rPr>
          <w:lang w:val="fr-FR"/>
        </w:rPr>
        <w:t>affectation peut être modifiée soit à la demande du directeur de l</w:t>
      </w:r>
      <w:r w:rsidR="005A6B8A">
        <w:rPr>
          <w:lang w:val="fr-FR"/>
        </w:rPr>
        <w:t>’</w:t>
      </w:r>
      <w:r w:rsidR="00D76228">
        <w:rPr>
          <w:lang w:val="fr-FR"/>
        </w:rPr>
        <w:t>établissement dans lequel le détenu exécute sa peine</w:t>
      </w:r>
      <w:r w:rsidR="000A57B8">
        <w:rPr>
          <w:lang w:val="fr-FR"/>
        </w:rPr>
        <w:t>, soit à la demande du condamné.</w:t>
      </w:r>
      <w:r w:rsidR="00D76228">
        <w:rPr>
          <w:lang w:val="fr-FR"/>
        </w:rPr>
        <w:t xml:space="preserve"> </w:t>
      </w:r>
      <w:r w:rsidR="000A57B8">
        <w:rPr>
          <w:lang w:val="fr-FR"/>
        </w:rPr>
        <w:t>La circulaire DAP du 21 février 2012 sur l</w:t>
      </w:r>
      <w:r w:rsidR="005A6B8A">
        <w:rPr>
          <w:lang w:val="fr-FR"/>
        </w:rPr>
        <w:t>’</w:t>
      </w:r>
      <w:r w:rsidR="000A57B8">
        <w:rPr>
          <w:lang w:val="fr-FR"/>
        </w:rPr>
        <w:t>orientation en établissement pénitentiaire des personnes détenues précise les modalités des demandes de changement d</w:t>
      </w:r>
      <w:r w:rsidR="005A6B8A">
        <w:rPr>
          <w:lang w:val="fr-FR"/>
        </w:rPr>
        <w:t>’</w:t>
      </w:r>
      <w:r w:rsidR="000A57B8">
        <w:rPr>
          <w:lang w:val="fr-FR"/>
        </w:rPr>
        <w:t xml:space="preserve">affectation. </w:t>
      </w:r>
      <w:r>
        <w:rPr>
          <w:lang w:val="fr-FR"/>
        </w:rPr>
        <w:t>L</w:t>
      </w:r>
      <w:r w:rsidR="005A6B8A">
        <w:rPr>
          <w:lang w:val="fr-FR"/>
        </w:rPr>
        <w:t>’</w:t>
      </w:r>
      <w:r w:rsidR="000A57B8">
        <w:rPr>
          <w:lang w:val="fr-FR"/>
        </w:rPr>
        <w:t>article</w:t>
      </w:r>
      <w:r w:rsidR="00E13CD0">
        <w:rPr>
          <w:lang w:val="fr-FR"/>
        </w:rPr>
        <w:t> </w:t>
      </w:r>
      <w:r>
        <w:rPr>
          <w:lang w:val="fr-FR"/>
        </w:rPr>
        <w:t>D</w:t>
      </w:r>
      <w:r w:rsidR="001E02F5">
        <w:rPr>
          <w:lang w:val="fr-FR"/>
        </w:rPr>
        <w:t>.</w:t>
      </w:r>
      <w:r>
        <w:rPr>
          <w:lang w:val="fr-FR"/>
        </w:rPr>
        <w:t xml:space="preserve"> 360 </w:t>
      </w:r>
      <w:r w:rsidR="006A5206">
        <w:rPr>
          <w:lang w:val="fr-FR"/>
        </w:rPr>
        <w:t xml:space="preserve">du CPP </w:t>
      </w:r>
      <w:r w:rsidR="000A57B8">
        <w:rPr>
          <w:lang w:val="fr-FR"/>
        </w:rPr>
        <w:t xml:space="preserve">a trait </w:t>
      </w:r>
      <w:r w:rsidR="00321E9A" w:rsidRPr="00321E9A">
        <w:rPr>
          <w:lang w:val="fr-FR"/>
        </w:rPr>
        <w:t xml:space="preserve">au </w:t>
      </w:r>
      <w:r w:rsidR="00566556" w:rsidRPr="00321E9A">
        <w:rPr>
          <w:lang w:val="fr-FR"/>
        </w:rPr>
        <w:t>transfert</w:t>
      </w:r>
      <w:r w:rsidR="000A57B8">
        <w:rPr>
          <w:lang w:val="fr-FR"/>
        </w:rPr>
        <w:t xml:space="preserve"> d</w:t>
      </w:r>
      <w:r w:rsidR="00CC67E9">
        <w:rPr>
          <w:lang w:val="fr-FR"/>
        </w:rPr>
        <w:t>e la personne</w:t>
      </w:r>
      <w:r w:rsidR="000A57B8">
        <w:rPr>
          <w:lang w:val="fr-FR"/>
        </w:rPr>
        <w:t xml:space="preserve"> détenu</w:t>
      </w:r>
      <w:r w:rsidR="00CC67E9">
        <w:rPr>
          <w:lang w:val="fr-FR"/>
        </w:rPr>
        <w:t>e</w:t>
      </w:r>
      <w:r w:rsidR="00566556" w:rsidRPr="00321E9A">
        <w:rPr>
          <w:lang w:val="fr-FR"/>
        </w:rPr>
        <w:t xml:space="preserve"> par l</w:t>
      </w:r>
      <w:r w:rsidR="005A6B8A">
        <w:rPr>
          <w:lang w:val="fr-FR"/>
        </w:rPr>
        <w:t>’</w:t>
      </w:r>
      <w:r w:rsidR="00566556" w:rsidRPr="00321E9A">
        <w:rPr>
          <w:lang w:val="fr-FR"/>
        </w:rPr>
        <w:t xml:space="preserve">administration pénitentiaire vers un établissement plus adapté à </w:t>
      </w:r>
      <w:r w:rsidR="000A57B8">
        <w:rPr>
          <w:lang w:val="fr-FR"/>
        </w:rPr>
        <w:t xml:space="preserve">son </w:t>
      </w:r>
      <w:r w:rsidR="00566556" w:rsidRPr="00321E9A">
        <w:rPr>
          <w:lang w:val="fr-FR"/>
        </w:rPr>
        <w:t>état de santé</w:t>
      </w:r>
      <w:r w:rsidR="00CC67E9">
        <w:rPr>
          <w:lang w:val="fr-FR"/>
        </w:rPr>
        <w:t>. L</w:t>
      </w:r>
      <w:r w:rsidR="005A6B8A">
        <w:rPr>
          <w:lang w:val="fr-FR"/>
        </w:rPr>
        <w:t>’</w:t>
      </w:r>
      <w:r w:rsidR="00CC67E9">
        <w:rPr>
          <w:lang w:val="fr-FR"/>
        </w:rPr>
        <w:t xml:space="preserve">article </w:t>
      </w:r>
      <w:r>
        <w:rPr>
          <w:lang w:val="fr-FR"/>
        </w:rPr>
        <w:t>R</w:t>
      </w:r>
      <w:r w:rsidR="001E02F5">
        <w:rPr>
          <w:lang w:val="fr-FR"/>
        </w:rPr>
        <w:t>.</w:t>
      </w:r>
      <w:r>
        <w:rPr>
          <w:lang w:val="fr-FR"/>
        </w:rPr>
        <w:t xml:space="preserve"> 57-8-6</w:t>
      </w:r>
      <w:r w:rsidR="006D5FFF">
        <w:rPr>
          <w:lang w:val="fr-FR"/>
        </w:rPr>
        <w:t xml:space="preserve"> </w:t>
      </w:r>
      <w:r w:rsidR="00F345DC">
        <w:rPr>
          <w:lang w:val="fr-FR"/>
        </w:rPr>
        <w:t xml:space="preserve">du CPP </w:t>
      </w:r>
      <w:r w:rsidR="00CC67E9">
        <w:rPr>
          <w:lang w:val="fr-FR"/>
        </w:rPr>
        <w:t>concerne le droit de la</w:t>
      </w:r>
      <w:r w:rsidR="006D5FFF" w:rsidRPr="00321E9A">
        <w:rPr>
          <w:lang w:val="fr-FR"/>
        </w:rPr>
        <w:t xml:space="preserve"> personne</w:t>
      </w:r>
      <w:r w:rsidR="00CC67E9">
        <w:rPr>
          <w:lang w:val="fr-FR"/>
        </w:rPr>
        <w:t xml:space="preserve"> détenue</w:t>
      </w:r>
      <w:r w:rsidR="006D5FFF" w:rsidRPr="00321E9A">
        <w:rPr>
          <w:lang w:val="fr-FR"/>
        </w:rPr>
        <w:t xml:space="preserve"> se trouvant</w:t>
      </w:r>
      <w:r w:rsidR="00CC67E9">
        <w:rPr>
          <w:lang w:val="fr-FR"/>
        </w:rPr>
        <w:t xml:space="preserve"> dans une situation de handicap. Ces deux dernières dispositions sont ainsi libellées </w:t>
      </w:r>
      <w:r>
        <w:rPr>
          <w:lang w:val="fr-FR"/>
        </w:rPr>
        <w:t>:</w:t>
      </w:r>
    </w:p>
    <w:p w:rsidR="0067769E" w:rsidRPr="0067769E" w:rsidRDefault="0067769E" w:rsidP="0067769E">
      <w:pPr>
        <w:pStyle w:val="ECHRTitleCentre3"/>
        <w:rPr>
          <w:rFonts w:ascii="Times New Roman" w:eastAsia="Times New Roman" w:hAnsi="Times New Roman" w:cs="Times New Roman"/>
          <w:szCs w:val="24"/>
          <w:lang w:val="fr-FR"/>
        </w:rPr>
      </w:pPr>
      <w:r w:rsidRPr="0067769E">
        <w:rPr>
          <w:rFonts w:ascii="Times New Roman" w:eastAsia="Times New Roman" w:hAnsi="Times New Roman" w:cs="Times New Roman"/>
          <w:szCs w:val="24"/>
          <w:lang w:val="fr-FR"/>
        </w:rPr>
        <w:t>Article D</w:t>
      </w:r>
      <w:r w:rsidR="00474553">
        <w:rPr>
          <w:rFonts w:ascii="Times New Roman" w:eastAsia="Times New Roman" w:hAnsi="Times New Roman" w:cs="Times New Roman"/>
          <w:szCs w:val="24"/>
          <w:lang w:val="fr-FR"/>
        </w:rPr>
        <w:t>.</w:t>
      </w:r>
      <w:r w:rsidR="005A4AC9">
        <w:rPr>
          <w:rFonts w:ascii="Times New Roman" w:eastAsia="Times New Roman" w:hAnsi="Times New Roman" w:cs="Times New Roman"/>
          <w:szCs w:val="24"/>
          <w:lang w:val="fr-FR"/>
        </w:rPr>
        <w:t xml:space="preserve"> </w:t>
      </w:r>
      <w:r w:rsidRPr="0067769E">
        <w:rPr>
          <w:rFonts w:ascii="Times New Roman" w:eastAsia="Times New Roman" w:hAnsi="Times New Roman" w:cs="Times New Roman"/>
          <w:szCs w:val="24"/>
          <w:lang w:val="fr-FR"/>
        </w:rPr>
        <w:t>360</w:t>
      </w:r>
    </w:p>
    <w:p w:rsidR="00067570" w:rsidRDefault="0067769E" w:rsidP="00947266">
      <w:pPr>
        <w:pStyle w:val="ECHRParaQuote"/>
        <w:rPr>
          <w:lang w:val="fr-FR"/>
        </w:rPr>
      </w:pPr>
      <w:r w:rsidRPr="00947266">
        <w:rPr>
          <w:lang w:val="fr-FR"/>
        </w:rPr>
        <w:t>« Le transfèrement dans un établissement pénitentiaire mieux approprié peut être sollicité dans les conditions prévues au quatrième alinéa de l</w:t>
      </w:r>
      <w:r w:rsidR="005A6B8A">
        <w:rPr>
          <w:lang w:val="fr-FR"/>
        </w:rPr>
        <w:t>’</w:t>
      </w:r>
      <w:r w:rsidRPr="00947266">
        <w:rPr>
          <w:lang w:val="fr-FR"/>
        </w:rPr>
        <w:t>article D 382, pour les détenus qui ne bénéficient pas, dans l</w:t>
      </w:r>
      <w:r w:rsidR="005A6B8A">
        <w:rPr>
          <w:lang w:val="fr-FR"/>
        </w:rPr>
        <w:t>’</w:t>
      </w:r>
      <w:r w:rsidRPr="00947266">
        <w:rPr>
          <w:lang w:val="fr-FR"/>
        </w:rPr>
        <w:t>établissement où ils sont écroués, de conditions matérielles de détention adaptées à leur état de santé et pour ceux qui nécessitent une prise en charge particulière.</w:t>
      </w:r>
    </w:p>
    <w:p w:rsidR="00067570" w:rsidRDefault="0067769E" w:rsidP="00947266">
      <w:pPr>
        <w:pStyle w:val="ECHRParaQuote"/>
        <w:rPr>
          <w:lang w:val="fr-FR"/>
        </w:rPr>
      </w:pPr>
      <w:r w:rsidRPr="00947266">
        <w:rPr>
          <w:lang w:val="fr-FR"/>
        </w:rPr>
        <w:t>Le directeur régional fait procéder, à l</w:t>
      </w:r>
      <w:r w:rsidR="005A6B8A">
        <w:rPr>
          <w:lang w:val="fr-FR"/>
        </w:rPr>
        <w:t>’</w:t>
      </w:r>
      <w:r w:rsidRPr="00947266">
        <w:rPr>
          <w:lang w:val="fr-FR"/>
        </w:rPr>
        <w:t>intérieur de sa région et dans les conditions prévues à l</w:t>
      </w:r>
      <w:r w:rsidR="005A6B8A">
        <w:rPr>
          <w:lang w:val="fr-FR"/>
        </w:rPr>
        <w:t>’</w:t>
      </w:r>
      <w:r w:rsidRPr="00947266">
        <w:rPr>
          <w:lang w:val="fr-FR"/>
        </w:rPr>
        <w:t>article D 301, à tout transfèrement ayant pour objet de permettre à un détenu malade d</w:t>
      </w:r>
      <w:r w:rsidR="005A6B8A">
        <w:rPr>
          <w:lang w:val="fr-FR"/>
        </w:rPr>
        <w:t>’</w:t>
      </w:r>
      <w:r w:rsidRPr="00947266">
        <w:rPr>
          <w:lang w:val="fr-FR"/>
        </w:rPr>
        <w:t>être pris en charge dans de meilleures conditions.</w:t>
      </w:r>
    </w:p>
    <w:p w:rsidR="0067769E" w:rsidRPr="00947266" w:rsidRDefault="0067769E" w:rsidP="00947266">
      <w:pPr>
        <w:pStyle w:val="ECHRParaQuote"/>
        <w:rPr>
          <w:lang w:val="fr-FR"/>
        </w:rPr>
      </w:pPr>
      <w:r w:rsidRPr="00947266">
        <w:rPr>
          <w:lang w:val="fr-FR"/>
        </w:rPr>
        <w:t>S</w:t>
      </w:r>
      <w:r w:rsidR="005A6B8A">
        <w:rPr>
          <w:lang w:val="fr-FR"/>
        </w:rPr>
        <w:t>’</w:t>
      </w:r>
      <w:r w:rsidRPr="00947266">
        <w:rPr>
          <w:lang w:val="fr-FR"/>
        </w:rPr>
        <w:t>il s</w:t>
      </w:r>
      <w:r w:rsidR="005A6B8A">
        <w:rPr>
          <w:lang w:val="fr-FR"/>
        </w:rPr>
        <w:t>’</w:t>
      </w:r>
      <w:r w:rsidRPr="00947266">
        <w:rPr>
          <w:lang w:val="fr-FR"/>
        </w:rPr>
        <w:t>agit de prévenus, le magistrat saisi du dossier de l</w:t>
      </w:r>
      <w:r w:rsidR="005A6B8A">
        <w:rPr>
          <w:lang w:val="fr-FR"/>
        </w:rPr>
        <w:t>’</w:t>
      </w:r>
      <w:r w:rsidRPr="00947266">
        <w:rPr>
          <w:lang w:val="fr-FR"/>
        </w:rPr>
        <w:t>information doit avoir donné préalablement son accord au transfèrement, après avoir été informé de la durée probable du traitement envisagé ».</w:t>
      </w:r>
    </w:p>
    <w:p w:rsidR="00947266" w:rsidRDefault="0067769E" w:rsidP="00947266">
      <w:pPr>
        <w:pStyle w:val="ECHRTitleCentre3"/>
        <w:rPr>
          <w:rFonts w:eastAsia="Times New Roman"/>
          <w:lang w:val="fr-FR"/>
        </w:rPr>
      </w:pPr>
      <w:r w:rsidRPr="0067769E">
        <w:rPr>
          <w:rFonts w:eastAsia="Times New Roman"/>
          <w:lang w:val="fr-FR"/>
        </w:rPr>
        <w:t>Article R</w:t>
      </w:r>
      <w:r w:rsidR="00947266">
        <w:rPr>
          <w:rFonts w:eastAsia="Times New Roman"/>
          <w:lang w:val="fr-FR"/>
        </w:rPr>
        <w:t>.</w:t>
      </w:r>
      <w:r w:rsidR="00E13CD0">
        <w:rPr>
          <w:rFonts w:eastAsia="Times New Roman"/>
          <w:lang w:val="fr-FR"/>
        </w:rPr>
        <w:t xml:space="preserve"> </w:t>
      </w:r>
      <w:r w:rsidRPr="0067769E">
        <w:rPr>
          <w:rFonts w:eastAsia="Times New Roman"/>
          <w:lang w:val="fr-FR"/>
        </w:rPr>
        <w:t>57-8-6</w:t>
      </w:r>
    </w:p>
    <w:p w:rsidR="0067769E" w:rsidRPr="00947266" w:rsidRDefault="00947266" w:rsidP="00947266">
      <w:pPr>
        <w:pStyle w:val="ECHRTitleCentre3"/>
        <w:rPr>
          <w:lang w:val="fr-FR"/>
        </w:rPr>
      </w:pPr>
      <w:r w:rsidRPr="00947266">
        <w:rPr>
          <w:lang w:val="fr-FR" w:bidi="ar-SA"/>
        </w:rPr>
        <w:t>Créé par</w:t>
      </w:r>
      <w:r w:rsidRPr="00947266">
        <w:rPr>
          <w:lang w:val="fr-FR"/>
        </w:rPr>
        <w:t xml:space="preserve"> décret n</w:t>
      </w:r>
      <w:r w:rsidR="00067570" w:rsidRPr="00067570">
        <w:rPr>
          <w:vertAlign w:val="superscript"/>
          <w:lang w:val="fr-FR"/>
        </w:rPr>
        <w:t>o</w:t>
      </w:r>
      <w:r w:rsidRPr="00947266">
        <w:rPr>
          <w:lang w:val="fr-FR"/>
        </w:rPr>
        <w:t xml:space="preserve"> 2010-1634 du 23 décembre 2010</w:t>
      </w:r>
    </w:p>
    <w:p w:rsidR="00683D06" w:rsidRDefault="0067769E" w:rsidP="00947266">
      <w:pPr>
        <w:pStyle w:val="ECHRParaQuote"/>
        <w:rPr>
          <w:rFonts w:eastAsia="Times New Roman"/>
          <w:lang w:val="fr-FR"/>
        </w:rPr>
      </w:pPr>
      <w:r>
        <w:rPr>
          <w:rFonts w:eastAsia="Times New Roman"/>
          <w:lang w:val="fr-FR"/>
        </w:rPr>
        <w:t>« </w:t>
      </w:r>
      <w:r w:rsidRPr="0067769E">
        <w:rPr>
          <w:rFonts w:eastAsia="Times New Roman"/>
          <w:lang w:val="fr-FR"/>
        </w:rPr>
        <w:t>Les personnes détenues se trouvant durablement empêchées, du fait de limitations fonctionnelles des membres supérieurs en lien avec un handicap physique, d</w:t>
      </w:r>
      <w:r w:rsidR="005A6B8A">
        <w:rPr>
          <w:rFonts w:eastAsia="Times New Roman"/>
          <w:lang w:val="fr-FR"/>
        </w:rPr>
        <w:t>’</w:t>
      </w:r>
      <w:r w:rsidRPr="0067769E">
        <w:rPr>
          <w:rFonts w:eastAsia="Times New Roman"/>
          <w:lang w:val="fr-FR"/>
        </w:rPr>
        <w:t>accomplir elles-mêmes des gestes liés à des soins prescrits par un médecin peuvent désigner un aidant, y compris une autre personne détenue, pour permettre la réalisation de ces actes, durant les périodes d</w:t>
      </w:r>
      <w:r w:rsidR="005A6B8A">
        <w:rPr>
          <w:rFonts w:eastAsia="Times New Roman"/>
          <w:lang w:val="fr-FR"/>
        </w:rPr>
        <w:t>’</w:t>
      </w:r>
      <w:r w:rsidRPr="0067769E">
        <w:rPr>
          <w:rFonts w:eastAsia="Times New Roman"/>
          <w:lang w:val="fr-FR"/>
        </w:rPr>
        <w:t>absence des professionnels soignants. La personne désignée doit expressément y consentir.</w:t>
      </w:r>
      <w:r w:rsidR="00067570">
        <w:rPr>
          <w:rFonts w:eastAsia="Times New Roman"/>
          <w:lang w:val="fr-FR"/>
        </w:rPr>
        <w:t xml:space="preserve"> </w:t>
      </w:r>
      <w:r w:rsidR="00683D06">
        <w:rPr>
          <w:rFonts w:eastAsia="Times New Roman"/>
          <w:lang w:val="fr-FR"/>
        </w:rPr>
        <w:t>(</w:t>
      </w:r>
      <w:r w:rsidR="00067570">
        <w:rPr>
          <w:rFonts w:eastAsia="Times New Roman"/>
          <w:lang w:val="fr-FR"/>
        </w:rPr>
        <w:t>...</w:t>
      </w:r>
      <w:r w:rsidR="00683D06">
        <w:rPr>
          <w:rFonts w:eastAsia="Times New Roman"/>
          <w:lang w:val="fr-FR"/>
        </w:rPr>
        <w:t>)</w:t>
      </w:r>
    </w:p>
    <w:p w:rsidR="00067570" w:rsidRDefault="0067769E" w:rsidP="00947266">
      <w:pPr>
        <w:pStyle w:val="ECHRParaQuote"/>
        <w:rPr>
          <w:rFonts w:eastAsia="Times New Roman"/>
          <w:lang w:val="fr-FR"/>
        </w:rPr>
      </w:pPr>
      <w:r w:rsidRPr="0067769E">
        <w:rPr>
          <w:rFonts w:eastAsia="Times New Roman"/>
          <w:lang w:val="fr-FR"/>
        </w:rPr>
        <w:t>Le chef d</w:t>
      </w:r>
      <w:r w:rsidR="005A6B8A">
        <w:rPr>
          <w:rFonts w:eastAsia="Times New Roman"/>
          <w:lang w:val="fr-FR"/>
        </w:rPr>
        <w:t>’</w:t>
      </w:r>
      <w:r w:rsidRPr="0067769E">
        <w:rPr>
          <w:rFonts w:eastAsia="Times New Roman"/>
          <w:lang w:val="fr-FR"/>
        </w:rPr>
        <w:t>établissement peut s</w:t>
      </w:r>
      <w:r w:rsidR="005A6B8A">
        <w:rPr>
          <w:rFonts w:eastAsia="Times New Roman"/>
          <w:lang w:val="fr-FR"/>
        </w:rPr>
        <w:t>’</w:t>
      </w:r>
      <w:r w:rsidRPr="0067769E">
        <w:rPr>
          <w:rFonts w:eastAsia="Times New Roman"/>
          <w:lang w:val="fr-FR"/>
        </w:rPr>
        <w:t>opposer à la désignation d</w:t>
      </w:r>
      <w:r w:rsidR="005A6B8A">
        <w:rPr>
          <w:rFonts w:eastAsia="Times New Roman"/>
          <w:lang w:val="fr-FR"/>
        </w:rPr>
        <w:t>’</w:t>
      </w:r>
      <w:r w:rsidRPr="0067769E">
        <w:rPr>
          <w:rFonts w:eastAsia="Times New Roman"/>
          <w:lang w:val="fr-FR"/>
        </w:rPr>
        <w:t>un aidant notamment pour des motifs liés à la sécurité des personnes ou au maintien de l</w:t>
      </w:r>
      <w:r w:rsidR="005A6B8A">
        <w:rPr>
          <w:rFonts w:eastAsia="Times New Roman"/>
          <w:lang w:val="fr-FR"/>
        </w:rPr>
        <w:t>’</w:t>
      </w:r>
      <w:r w:rsidRPr="0067769E">
        <w:rPr>
          <w:rFonts w:eastAsia="Times New Roman"/>
          <w:lang w:val="fr-FR"/>
        </w:rPr>
        <w:t>ordre au sein de l</w:t>
      </w:r>
      <w:r w:rsidR="005A6B8A">
        <w:rPr>
          <w:rFonts w:eastAsia="Times New Roman"/>
          <w:lang w:val="fr-FR"/>
        </w:rPr>
        <w:t>’</w:t>
      </w:r>
      <w:r w:rsidRPr="0067769E">
        <w:rPr>
          <w:rFonts w:eastAsia="Times New Roman"/>
          <w:lang w:val="fr-FR"/>
        </w:rPr>
        <w:t>établissement</w:t>
      </w:r>
      <w:r w:rsidR="00683D06">
        <w:rPr>
          <w:rFonts w:eastAsia="Times New Roman"/>
          <w:lang w:val="fr-FR"/>
        </w:rPr>
        <w:t> »</w:t>
      </w:r>
      <w:r w:rsidR="004167DE">
        <w:rPr>
          <w:rFonts w:eastAsia="Times New Roman"/>
          <w:lang w:val="fr-FR"/>
        </w:rPr>
        <w:t xml:space="preserve"> [</w:t>
      </w:r>
      <w:r w:rsidR="00325DA1">
        <w:rPr>
          <w:rFonts w:eastAsia="Times New Roman"/>
          <w:lang w:val="fr-FR"/>
        </w:rPr>
        <w:t>Voir, également le guide méthodologique relatif à la prise en charge sanitaire des personnes</w:t>
      </w:r>
      <w:r w:rsidR="00E13CD0">
        <w:rPr>
          <w:rFonts w:eastAsia="Times New Roman"/>
          <w:lang w:val="fr-FR"/>
        </w:rPr>
        <w:t xml:space="preserve"> placées sous main de justice, ministère de la Justice et ministère des A</w:t>
      </w:r>
      <w:r w:rsidR="00325DA1">
        <w:rPr>
          <w:rFonts w:eastAsia="Times New Roman"/>
          <w:lang w:val="fr-FR"/>
        </w:rPr>
        <w:t>ffaires sociales et de la</w:t>
      </w:r>
      <w:r w:rsidR="00067570">
        <w:rPr>
          <w:rFonts w:eastAsia="Times New Roman"/>
          <w:lang w:val="fr-FR"/>
        </w:rPr>
        <w:t xml:space="preserve"> </w:t>
      </w:r>
      <w:r w:rsidR="00325DA1">
        <w:rPr>
          <w:rFonts w:eastAsia="Times New Roman"/>
          <w:lang w:val="fr-FR"/>
        </w:rPr>
        <w:t>santé, 2012, p. 90</w:t>
      </w:r>
      <w:r w:rsidR="004167DE">
        <w:rPr>
          <w:rFonts w:eastAsia="Times New Roman"/>
          <w:lang w:val="fr-FR"/>
        </w:rPr>
        <w:t>]</w:t>
      </w:r>
      <w:r w:rsidR="00325DA1">
        <w:rPr>
          <w:rFonts w:eastAsia="Times New Roman"/>
          <w:lang w:val="fr-FR"/>
        </w:rPr>
        <w:t>.</w:t>
      </w:r>
    </w:p>
    <w:p w:rsidR="00067570" w:rsidRDefault="00EA4DEF" w:rsidP="00947266">
      <w:pPr>
        <w:pStyle w:val="ECHRHeading2"/>
        <w:rPr>
          <w:lang w:val="fr-FR"/>
        </w:rPr>
      </w:pPr>
      <w:r>
        <w:rPr>
          <w:rFonts w:eastAsia="Times New Roman"/>
          <w:lang w:val="fr-FR"/>
        </w:rPr>
        <w:t>C.  </w:t>
      </w:r>
      <w:r w:rsidR="00947266">
        <w:rPr>
          <w:rFonts w:eastAsia="Times New Roman"/>
          <w:lang w:val="fr-FR"/>
        </w:rPr>
        <w:t xml:space="preserve">Rapport </w:t>
      </w:r>
      <w:r w:rsidR="001E02F5">
        <w:rPr>
          <w:lang w:val="fr-FR"/>
        </w:rPr>
        <w:t xml:space="preserve">de visite </w:t>
      </w:r>
      <w:r w:rsidR="009C217B">
        <w:rPr>
          <w:lang w:val="fr-FR"/>
        </w:rPr>
        <w:t>du CGPLP</w:t>
      </w:r>
      <w:r w:rsidR="00C27879">
        <w:rPr>
          <w:lang w:val="fr-FR"/>
        </w:rPr>
        <w:t xml:space="preserve"> </w:t>
      </w:r>
      <w:r w:rsidR="009C217B">
        <w:rPr>
          <w:lang w:val="fr-FR"/>
        </w:rPr>
        <w:t>/</w:t>
      </w:r>
      <w:r w:rsidR="00C27879">
        <w:rPr>
          <w:lang w:val="fr-FR"/>
        </w:rPr>
        <w:t xml:space="preserve"> </w:t>
      </w:r>
      <w:r w:rsidR="001E02F5">
        <w:rPr>
          <w:lang w:val="fr-FR"/>
        </w:rPr>
        <w:t>centre de dét</w:t>
      </w:r>
      <w:r w:rsidR="009C217B">
        <w:rPr>
          <w:lang w:val="fr-FR"/>
        </w:rPr>
        <w:t>ention d</w:t>
      </w:r>
      <w:r w:rsidR="005A6B8A">
        <w:rPr>
          <w:lang w:val="fr-FR"/>
        </w:rPr>
        <w:t>’</w:t>
      </w:r>
      <w:r w:rsidR="009C217B">
        <w:rPr>
          <w:lang w:val="fr-FR"/>
        </w:rPr>
        <w:t>Uzerche (octobre 2010)</w:t>
      </w:r>
    </w:p>
    <w:p w:rsidR="001E02F5" w:rsidRPr="00947266" w:rsidRDefault="00947266" w:rsidP="00947266">
      <w:pPr>
        <w:pStyle w:val="ECHRPara"/>
        <w:rPr>
          <w:rFonts w:eastAsia="Times New Roman"/>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33</w:t>
      </w:r>
      <w:r>
        <w:rPr>
          <w:lang w:val="fr-FR"/>
        </w:rPr>
        <w:fldChar w:fldCharType="end"/>
      </w:r>
      <w:r>
        <w:rPr>
          <w:lang w:val="fr-FR"/>
        </w:rPr>
        <w:t>.  </w:t>
      </w:r>
      <w:r w:rsidR="008E4359">
        <w:rPr>
          <w:lang w:val="fr-FR"/>
        </w:rPr>
        <w:t>Le CGPLP a publié un rapport détaillé à la suite de la visite du ce</w:t>
      </w:r>
      <w:r w:rsidR="00614DA7">
        <w:rPr>
          <w:lang w:val="fr-FR"/>
        </w:rPr>
        <w:t>ntre de détention d</w:t>
      </w:r>
      <w:r w:rsidR="005A6B8A">
        <w:rPr>
          <w:lang w:val="fr-FR"/>
        </w:rPr>
        <w:t>’</w:t>
      </w:r>
      <w:r w:rsidR="00614DA7">
        <w:rPr>
          <w:lang w:val="fr-FR"/>
        </w:rPr>
        <w:t xml:space="preserve">Uzerche, </w:t>
      </w:r>
      <w:r w:rsidR="00CB64F7">
        <w:rPr>
          <w:lang w:val="fr-FR"/>
        </w:rPr>
        <w:t xml:space="preserve">mis en service en 1990, </w:t>
      </w:r>
      <w:r w:rsidR="008E4359">
        <w:rPr>
          <w:lang w:val="fr-FR"/>
        </w:rPr>
        <w:t xml:space="preserve">dont seules certaines parties sont pertinentes pour </w:t>
      </w:r>
      <w:r w:rsidR="00614DA7">
        <w:rPr>
          <w:lang w:val="fr-FR"/>
        </w:rPr>
        <w:t>la présente affaire. Il ne mentionne pas de problèmes</w:t>
      </w:r>
      <w:r w:rsidR="009C217B">
        <w:rPr>
          <w:lang w:val="fr-FR"/>
        </w:rPr>
        <w:t xml:space="preserve"> </w:t>
      </w:r>
      <w:r w:rsidR="00614DA7">
        <w:rPr>
          <w:lang w:val="fr-FR"/>
        </w:rPr>
        <w:t>liés</w:t>
      </w:r>
      <w:r w:rsidR="008E4359">
        <w:rPr>
          <w:lang w:val="fr-FR"/>
        </w:rPr>
        <w:t xml:space="preserve"> à la situation des personnes handicapées. S</w:t>
      </w:r>
      <w:r w:rsidR="005A6B8A">
        <w:rPr>
          <w:lang w:val="fr-FR"/>
        </w:rPr>
        <w:t>’</w:t>
      </w:r>
      <w:r w:rsidR="008E4359">
        <w:rPr>
          <w:lang w:val="fr-FR"/>
        </w:rPr>
        <w:t>agissant</w:t>
      </w:r>
      <w:r w:rsidR="009C217B">
        <w:rPr>
          <w:lang w:val="fr-FR"/>
        </w:rPr>
        <w:t xml:space="preserve"> plus généralement</w:t>
      </w:r>
      <w:r w:rsidR="008E4359">
        <w:rPr>
          <w:lang w:val="fr-FR"/>
        </w:rPr>
        <w:t xml:space="preserve"> de </w:t>
      </w:r>
      <w:r w:rsidR="001E02F5">
        <w:rPr>
          <w:lang w:val="fr-FR"/>
        </w:rPr>
        <w:t>l</w:t>
      </w:r>
      <w:r w:rsidR="005A6B8A">
        <w:rPr>
          <w:lang w:val="fr-FR"/>
        </w:rPr>
        <w:t>’</w:t>
      </w:r>
      <w:r w:rsidR="001E02F5">
        <w:rPr>
          <w:lang w:val="fr-FR"/>
        </w:rPr>
        <w:t xml:space="preserve">hygiène corporelle, </w:t>
      </w:r>
      <w:r w:rsidR="008E4359">
        <w:rPr>
          <w:lang w:val="fr-FR"/>
        </w:rPr>
        <w:t>le CGPLP constate qu</w:t>
      </w:r>
      <w:r w:rsidR="005A6B8A">
        <w:rPr>
          <w:lang w:val="fr-FR"/>
        </w:rPr>
        <w:t>’</w:t>
      </w:r>
      <w:r>
        <w:rPr>
          <w:lang w:val="fr-FR"/>
        </w:rPr>
        <w:t>« </w:t>
      </w:r>
      <w:r w:rsidR="001E02F5">
        <w:rPr>
          <w:rFonts w:eastAsiaTheme="minorHAnsi"/>
          <w:lang w:val="fr-FR"/>
        </w:rPr>
        <w:t>i</w:t>
      </w:r>
      <w:r w:rsidR="001E02F5" w:rsidRPr="00475701">
        <w:rPr>
          <w:rFonts w:eastAsiaTheme="minorHAnsi"/>
          <w:lang w:val="fr-FR"/>
        </w:rPr>
        <w:t>l n</w:t>
      </w:r>
      <w:r w:rsidR="005A6B8A">
        <w:rPr>
          <w:rFonts w:eastAsiaTheme="minorHAnsi"/>
          <w:lang w:val="fr-FR"/>
        </w:rPr>
        <w:t>’</w:t>
      </w:r>
      <w:r w:rsidR="001E02F5" w:rsidRPr="00475701">
        <w:rPr>
          <w:rFonts w:eastAsiaTheme="minorHAnsi"/>
          <w:lang w:val="fr-FR"/>
        </w:rPr>
        <w:t>a pas été rapporté de difficultés particulières auxquelles seraient confrontées les</w:t>
      </w:r>
      <w:r w:rsidR="001E02F5">
        <w:rPr>
          <w:rFonts w:eastAsiaTheme="minorHAnsi"/>
          <w:lang w:val="fr-FR"/>
        </w:rPr>
        <w:t xml:space="preserve"> </w:t>
      </w:r>
      <w:r w:rsidR="001E02F5" w:rsidRPr="00475701">
        <w:rPr>
          <w:rFonts w:eastAsiaTheme="minorHAnsi"/>
          <w:lang w:val="fr-FR"/>
        </w:rPr>
        <w:t>personnes</w:t>
      </w:r>
      <w:r w:rsidR="008E4359">
        <w:rPr>
          <w:rFonts w:eastAsiaTheme="minorHAnsi"/>
          <w:lang w:val="fr-FR"/>
        </w:rPr>
        <w:t xml:space="preserve"> détenues</w:t>
      </w:r>
      <w:r w:rsidR="001E02F5" w:rsidRPr="00475701">
        <w:rPr>
          <w:rFonts w:eastAsiaTheme="minorHAnsi"/>
          <w:lang w:val="fr-FR"/>
        </w:rPr>
        <w:t>. Les douches sont accessibles en</w:t>
      </w:r>
      <w:r w:rsidR="001E02F5">
        <w:rPr>
          <w:rFonts w:eastAsiaTheme="minorHAnsi"/>
          <w:lang w:val="fr-FR"/>
        </w:rPr>
        <w:t xml:space="preserve"> </w:t>
      </w:r>
      <w:r w:rsidR="001E02F5" w:rsidRPr="00475701">
        <w:rPr>
          <w:rFonts w:eastAsiaTheme="minorHAnsi"/>
          <w:lang w:val="fr-FR"/>
        </w:rPr>
        <w:t xml:space="preserve">permanence pour les régimes « porte ouverte », et une fois par jour pour le régime </w:t>
      </w:r>
      <w:r w:rsidR="00C27879">
        <w:rPr>
          <w:rFonts w:eastAsiaTheme="minorHAnsi"/>
          <w:lang w:val="fr-FR"/>
        </w:rPr>
        <w:t>« </w:t>
      </w:r>
      <w:r w:rsidR="001E02F5" w:rsidRPr="00475701">
        <w:rPr>
          <w:rFonts w:eastAsiaTheme="minorHAnsi"/>
          <w:lang w:val="fr-FR"/>
        </w:rPr>
        <w:t>porte fermée</w:t>
      </w:r>
      <w:r w:rsidR="00C27879">
        <w:rPr>
          <w:rFonts w:eastAsiaTheme="minorHAnsi"/>
          <w:lang w:val="fr-FR"/>
        </w:rPr>
        <w:t> »</w:t>
      </w:r>
      <w:r w:rsidR="001E02F5">
        <w:rPr>
          <w:rFonts w:eastAsiaTheme="minorHAnsi"/>
          <w:lang w:val="fr-FR"/>
        </w:rPr>
        <w:t xml:space="preserve"> </w:t>
      </w:r>
      <w:r w:rsidR="001E02F5" w:rsidRPr="00475701">
        <w:rPr>
          <w:rFonts w:eastAsiaTheme="minorHAnsi"/>
          <w:lang w:val="fr-FR"/>
        </w:rPr>
        <w:t xml:space="preserve">du bâtiment B. </w:t>
      </w:r>
      <w:r w:rsidR="001E02F5">
        <w:rPr>
          <w:lang w:val="fr-FR"/>
        </w:rPr>
        <w:t>Quant aux cours de promenade, il indique qu</w:t>
      </w:r>
      <w:r w:rsidR="005A6B8A">
        <w:rPr>
          <w:lang w:val="fr-FR"/>
        </w:rPr>
        <w:t>’</w:t>
      </w:r>
      <w:r w:rsidR="001E02F5">
        <w:rPr>
          <w:lang w:val="fr-FR"/>
        </w:rPr>
        <w:t>elles sont</w:t>
      </w:r>
      <w:r w:rsidR="001E02F5" w:rsidRPr="00475701">
        <w:rPr>
          <w:rFonts w:eastAsiaTheme="minorHAnsi"/>
          <w:lang w:val="fr-FR"/>
        </w:rPr>
        <w:t xml:space="preserve"> </w:t>
      </w:r>
      <w:r w:rsidR="001E02F5">
        <w:rPr>
          <w:rFonts w:eastAsiaTheme="minorHAnsi"/>
          <w:lang w:val="fr-FR"/>
        </w:rPr>
        <w:t>identiques</w:t>
      </w:r>
      <w:r w:rsidR="008E4359">
        <w:rPr>
          <w:rFonts w:eastAsiaTheme="minorHAnsi"/>
          <w:lang w:val="fr-FR"/>
        </w:rPr>
        <w:t xml:space="preserve"> dans toutes les ailes du bâtiment</w:t>
      </w:r>
      <w:r w:rsidR="001E02F5">
        <w:rPr>
          <w:rFonts w:eastAsiaTheme="minorHAnsi"/>
          <w:lang w:val="fr-FR"/>
        </w:rPr>
        <w:t> :</w:t>
      </w:r>
      <w:r w:rsidR="001E02F5" w:rsidRPr="00475701">
        <w:rPr>
          <w:rFonts w:eastAsiaTheme="minorHAnsi"/>
          <w:lang w:val="fr-FR"/>
        </w:rPr>
        <w:t xml:space="preserve"> </w:t>
      </w:r>
      <w:r w:rsidR="001E02F5">
        <w:rPr>
          <w:rFonts w:eastAsiaTheme="minorHAnsi"/>
          <w:lang w:val="fr-FR"/>
        </w:rPr>
        <w:t>u</w:t>
      </w:r>
      <w:r w:rsidR="001E02F5" w:rsidRPr="00475701">
        <w:rPr>
          <w:rFonts w:eastAsiaTheme="minorHAnsi"/>
          <w:lang w:val="fr-FR"/>
        </w:rPr>
        <w:t>n préau, deux ou trois bancs en béton, une table de ping</w:t>
      </w:r>
      <w:r w:rsidR="00C27879">
        <w:rPr>
          <w:rFonts w:eastAsiaTheme="minorHAnsi"/>
          <w:lang w:val="fr-FR"/>
        </w:rPr>
        <w:t xml:space="preserve"> </w:t>
      </w:r>
      <w:r w:rsidR="001E02F5" w:rsidRPr="00475701">
        <w:rPr>
          <w:rFonts w:eastAsiaTheme="minorHAnsi"/>
          <w:lang w:val="fr-FR"/>
        </w:rPr>
        <w:t>pong</w:t>
      </w:r>
      <w:r w:rsidR="001E02F5">
        <w:rPr>
          <w:lang w:val="fr-FR"/>
        </w:rPr>
        <w:t xml:space="preserve"> </w:t>
      </w:r>
      <w:r w:rsidR="001E02F5" w:rsidRPr="00475701">
        <w:rPr>
          <w:rFonts w:eastAsiaTheme="minorHAnsi"/>
          <w:lang w:val="fr-FR"/>
        </w:rPr>
        <w:t>en béton et une aire de jeux de boules en constituent l</w:t>
      </w:r>
      <w:r w:rsidR="005A6B8A">
        <w:rPr>
          <w:rFonts w:eastAsiaTheme="minorHAnsi"/>
          <w:lang w:val="fr-FR"/>
        </w:rPr>
        <w:t>’</w:t>
      </w:r>
      <w:r w:rsidR="001E02F5" w:rsidRPr="00475701">
        <w:rPr>
          <w:rFonts w:eastAsiaTheme="minorHAnsi"/>
          <w:lang w:val="fr-FR"/>
        </w:rPr>
        <w:t xml:space="preserve">équipement. </w:t>
      </w:r>
      <w:r w:rsidR="001E02F5" w:rsidRPr="00831E8B">
        <w:rPr>
          <w:lang w:val="fr-FR"/>
        </w:rPr>
        <w:t xml:space="preserve">Elles sont dotées de WC </w:t>
      </w:r>
      <w:r w:rsidR="00E13CD0">
        <w:rPr>
          <w:lang w:val="fr-FR"/>
        </w:rPr>
        <w:t>« </w:t>
      </w:r>
      <w:r w:rsidR="001E02F5" w:rsidRPr="00831E8B">
        <w:rPr>
          <w:lang w:val="fr-FR"/>
        </w:rPr>
        <w:t>à la turque</w:t>
      </w:r>
      <w:r w:rsidR="00E13CD0">
        <w:rPr>
          <w:lang w:val="fr-FR"/>
        </w:rPr>
        <w:t> »</w:t>
      </w:r>
      <w:r w:rsidR="001E02F5" w:rsidRPr="00831E8B">
        <w:rPr>
          <w:lang w:val="fr-FR"/>
        </w:rPr>
        <w:t xml:space="preserve">, inutilisables pour certaines formes de handicap. </w:t>
      </w:r>
      <w:r w:rsidR="005310FD">
        <w:rPr>
          <w:lang w:val="fr-FR"/>
        </w:rPr>
        <w:t>Aux bâtiments C et D, l</w:t>
      </w:r>
      <w:r w:rsidR="005A6B8A">
        <w:rPr>
          <w:lang w:val="fr-FR"/>
        </w:rPr>
        <w:t>’</w:t>
      </w:r>
      <w:r w:rsidR="005310FD">
        <w:rPr>
          <w:lang w:val="fr-FR"/>
        </w:rPr>
        <w:t>accès à la cour de promenade a</w:t>
      </w:r>
      <w:r w:rsidR="001E02F5" w:rsidRPr="00520AD0">
        <w:rPr>
          <w:lang w:val="fr-FR"/>
        </w:rPr>
        <w:t xml:space="preserve"> longtemps </w:t>
      </w:r>
      <w:r w:rsidR="005310FD">
        <w:rPr>
          <w:lang w:val="fr-FR"/>
        </w:rPr>
        <w:t>été</w:t>
      </w:r>
      <w:r w:rsidR="001E02F5" w:rsidRPr="00520AD0">
        <w:rPr>
          <w:lang w:val="fr-FR"/>
        </w:rPr>
        <w:t xml:space="preserve"> libre : les personnes détenues pouvaient y aller et en revenir à leur guise.</w:t>
      </w:r>
      <w:r w:rsidR="001E02F5" w:rsidRPr="00475701">
        <w:rPr>
          <w:rFonts w:eastAsiaTheme="minorHAnsi"/>
          <w:lang w:val="fr-FR"/>
        </w:rPr>
        <w:t xml:space="preserve"> </w:t>
      </w:r>
      <w:r w:rsidR="001E02F5" w:rsidRPr="00831E8B">
        <w:rPr>
          <w:lang w:val="fr-FR"/>
        </w:rPr>
        <w:t>Tel n</w:t>
      </w:r>
      <w:r w:rsidR="005A6B8A">
        <w:rPr>
          <w:lang w:val="fr-FR"/>
        </w:rPr>
        <w:t>’</w:t>
      </w:r>
      <w:r w:rsidR="001E02F5" w:rsidRPr="00831E8B">
        <w:rPr>
          <w:lang w:val="fr-FR"/>
        </w:rPr>
        <w:t>est plus le cas.</w:t>
      </w:r>
      <w:r w:rsidR="001E02F5" w:rsidRPr="00475701">
        <w:rPr>
          <w:rFonts w:eastAsiaTheme="minorHAnsi"/>
          <w:lang w:val="fr-FR"/>
        </w:rPr>
        <w:t xml:space="preserve"> Des créneaux ont été définis imposant</w:t>
      </w:r>
      <w:r w:rsidR="001E02F5">
        <w:rPr>
          <w:rFonts w:eastAsiaTheme="minorHAnsi"/>
          <w:lang w:val="fr-FR"/>
        </w:rPr>
        <w:t xml:space="preserve"> </w:t>
      </w:r>
      <w:r w:rsidR="001E02F5" w:rsidRPr="00475701">
        <w:rPr>
          <w:rFonts w:eastAsiaTheme="minorHAnsi"/>
          <w:lang w:val="fr-FR"/>
        </w:rPr>
        <w:t>l</w:t>
      </w:r>
      <w:r w:rsidR="005A6B8A">
        <w:rPr>
          <w:rFonts w:eastAsiaTheme="minorHAnsi"/>
          <w:lang w:val="fr-FR"/>
        </w:rPr>
        <w:t>’</w:t>
      </w:r>
      <w:r w:rsidR="001E02F5" w:rsidRPr="00475701">
        <w:rPr>
          <w:rFonts w:eastAsiaTheme="minorHAnsi"/>
          <w:lang w:val="fr-FR"/>
        </w:rPr>
        <w:t>entrée au début de la promenade et une sortie à la fin, sans autre possibilité : de 9</w:t>
      </w:r>
      <w:r w:rsidR="002905D2">
        <w:rPr>
          <w:rFonts w:eastAsiaTheme="minorHAnsi"/>
          <w:lang w:val="fr-FR"/>
        </w:rPr>
        <w:t xml:space="preserve"> </w:t>
      </w:r>
      <w:r w:rsidR="001E02F5" w:rsidRPr="00475701">
        <w:rPr>
          <w:rFonts w:eastAsiaTheme="minorHAnsi"/>
          <w:lang w:val="fr-FR"/>
        </w:rPr>
        <w:t>h</w:t>
      </w:r>
      <w:r w:rsidR="002905D2">
        <w:rPr>
          <w:rFonts w:eastAsiaTheme="minorHAnsi"/>
          <w:lang w:val="fr-FR"/>
        </w:rPr>
        <w:t>eures</w:t>
      </w:r>
      <w:r w:rsidR="001E02F5" w:rsidRPr="00475701">
        <w:rPr>
          <w:rFonts w:eastAsiaTheme="minorHAnsi"/>
          <w:lang w:val="fr-FR"/>
        </w:rPr>
        <w:t xml:space="preserve"> à 11</w:t>
      </w:r>
      <w:r w:rsidR="002905D2">
        <w:rPr>
          <w:rFonts w:eastAsiaTheme="minorHAnsi"/>
          <w:lang w:val="fr-FR"/>
        </w:rPr>
        <w:t xml:space="preserve"> </w:t>
      </w:r>
      <w:r w:rsidR="001E02F5" w:rsidRPr="00475701">
        <w:rPr>
          <w:rFonts w:eastAsiaTheme="minorHAnsi"/>
          <w:lang w:val="fr-FR"/>
        </w:rPr>
        <w:t>h</w:t>
      </w:r>
      <w:r w:rsidR="002905D2">
        <w:rPr>
          <w:rFonts w:eastAsiaTheme="minorHAnsi"/>
          <w:lang w:val="fr-FR"/>
        </w:rPr>
        <w:t>eures</w:t>
      </w:r>
      <w:r w:rsidR="001E02F5" w:rsidRPr="00475701">
        <w:rPr>
          <w:rFonts w:eastAsiaTheme="minorHAnsi"/>
          <w:lang w:val="fr-FR"/>
        </w:rPr>
        <w:t xml:space="preserve"> le</w:t>
      </w:r>
      <w:r w:rsidR="001E02F5">
        <w:rPr>
          <w:rFonts w:eastAsiaTheme="minorHAnsi"/>
          <w:lang w:val="fr-FR"/>
        </w:rPr>
        <w:t xml:space="preserve"> </w:t>
      </w:r>
      <w:r w:rsidR="001E02F5" w:rsidRPr="00475701">
        <w:rPr>
          <w:rFonts w:eastAsiaTheme="minorHAnsi"/>
          <w:lang w:val="fr-FR"/>
        </w:rPr>
        <w:t>matin, de 14</w:t>
      </w:r>
      <w:r w:rsidR="002905D2">
        <w:rPr>
          <w:rFonts w:eastAsiaTheme="minorHAnsi"/>
          <w:lang w:val="fr-FR"/>
        </w:rPr>
        <w:t xml:space="preserve"> </w:t>
      </w:r>
      <w:r w:rsidR="001E02F5" w:rsidRPr="00475701">
        <w:rPr>
          <w:rFonts w:eastAsiaTheme="minorHAnsi"/>
          <w:lang w:val="fr-FR"/>
        </w:rPr>
        <w:t>h</w:t>
      </w:r>
      <w:r w:rsidR="002905D2">
        <w:rPr>
          <w:rFonts w:eastAsiaTheme="minorHAnsi"/>
          <w:lang w:val="fr-FR"/>
        </w:rPr>
        <w:t>eures</w:t>
      </w:r>
      <w:r w:rsidR="001E02F5" w:rsidRPr="00475701">
        <w:rPr>
          <w:rFonts w:eastAsiaTheme="minorHAnsi"/>
          <w:lang w:val="fr-FR"/>
        </w:rPr>
        <w:t xml:space="preserve"> à 16</w:t>
      </w:r>
      <w:r w:rsidR="002905D2">
        <w:rPr>
          <w:rFonts w:eastAsiaTheme="minorHAnsi"/>
          <w:lang w:val="fr-FR"/>
        </w:rPr>
        <w:t xml:space="preserve"> heures </w:t>
      </w:r>
      <w:r w:rsidR="001E02F5" w:rsidRPr="00475701">
        <w:rPr>
          <w:rFonts w:eastAsiaTheme="minorHAnsi"/>
          <w:lang w:val="fr-FR"/>
        </w:rPr>
        <w:t>puis de 16</w:t>
      </w:r>
      <w:r w:rsidR="002905D2">
        <w:rPr>
          <w:rFonts w:eastAsiaTheme="minorHAnsi"/>
          <w:lang w:val="fr-FR"/>
        </w:rPr>
        <w:t xml:space="preserve"> heures</w:t>
      </w:r>
      <w:r w:rsidR="001E02F5" w:rsidRPr="00475701">
        <w:rPr>
          <w:rFonts w:eastAsiaTheme="minorHAnsi"/>
          <w:lang w:val="fr-FR"/>
        </w:rPr>
        <w:t xml:space="preserve"> à 17</w:t>
      </w:r>
      <w:r w:rsidR="002905D2">
        <w:rPr>
          <w:rFonts w:eastAsiaTheme="minorHAnsi"/>
          <w:lang w:val="fr-FR"/>
        </w:rPr>
        <w:t xml:space="preserve"> </w:t>
      </w:r>
      <w:r w:rsidR="001E02F5" w:rsidRPr="00475701">
        <w:rPr>
          <w:rFonts w:eastAsiaTheme="minorHAnsi"/>
          <w:lang w:val="fr-FR"/>
        </w:rPr>
        <w:t>h</w:t>
      </w:r>
      <w:r w:rsidR="002905D2">
        <w:rPr>
          <w:rFonts w:eastAsiaTheme="minorHAnsi"/>
          <w:lang w:val="fr-FR"/>
        </w:rPr>
        <w:t xml:space="preserve"> </w:t>
      </w:r>
      <w:r w:rsidR="001E02F5" w:rsidRPr="00475701">
        <w:rPr>
          <w:rFonts w:eastAsiaTheme="minorHAnsi"/>
          <w:lang w:val="fr-FR"/>
        </w:rPr>
        <w:t>30 l</w:t>
      </w:r>
      <w:r w:rsidR="005A6B8A">
        <w:rPr>
          <w:rFonts w:eastAsiaTheme="minorHAnsi"/>
          <w:lang w:val="fr-FR"/>
        </w:rPr>
        <w:t>’</w:t>
      </w:r>
      <w:r w:rsidR="001E02F5" w:rsidRPr="00475701">
        <w:rPr>
          <w:rFonts w:eastAsiaTheme="minorHAnsi"/>
          <w:lang w:val="fr-FR"/>
        </w:rPr>
        <w:t>après-midi</w:t>
      </w:r>
      <w:r w:rsidR="001E02F5">
        <w:rPr>
          <w:rFonts w:eastAsiaTheme="minorHAnsi"/>
          <w:lang w:val="fr-FR"/>
        </w:rPr>
        <w:t>. Par ailleurs, il note</w:t>
      </w:r>
      <w:r w:rsidR="009C217B">
        <w:rPr>
          <w:rFonts w:eastAsiaTheme="minorHAnsi"/>
          <w:lang w:val="fr-FR"/>
        </w:rPr>
        <w:t xml:space="preserve"> qu</w:t>
      </w:r>
      <w:r w:rsidR="005A6B8A">
        <w:rPr>
          <w:rFonts w:eastAsiaTheme="minorHAnsi"/>
          <w:lang w:val="fr-FR"/>
        </w:rPr>
        <w:t>’</w:t>
      </w:r>
      <w:r w:rsidR="001E02F5">
        <w:rPr>
          <w:rFonts w:eastAsiaTheme="minorHAnsi"/>
          <w:lang w:val="fr-FR"/>
        </w:rPr>
        <w:t xml:space="preserve">« aucun </w:t>
      </w:r>
      <w:r w:rsidR="001E02F5" w:rsidRPr="00520AD0">
        <w:rPr>
          <w:lang w:val="fr-FR"/>
        </w:rPr>
        <w:t>kinésithérapeute n</w:t>
      </w:r>
      <w:r w:rsidR="005A6B8A">
        <w:rPr>
          <w:lang w:val="fr-FR"/>
        </w:rPr>
        <w:t>’</w:t>
      </w:r>
      <w:r w:rsidR="001E02F5" w:rsidRPr="00520AD0">
        <w:rPr>
          <w:lang w:val="fr-FR"/>
        </w:rPr>
        <w:t>intervient</w:t>
      </w:r>
      <w:r w:rsidR="001E02F5" w:rsidRPr="00475701">
        <w:rPr>
          <w:rFonts w:ascii="Calibri,Bold" w:eastAsiaTheme="minorHAnsi" w:hAnsi="Calibri,Bold" w:cs="Calibri,Bold"/>
          <w:b/>
          <w:bCs/>
          <w:lang w:val="fr-FR"/>
        </w:rPr>
        <w:t xml:space="preserve"> </w:t>
      </w:r>
      <w:r w:rsidR="001E02F5" w:rsidRPr="00475701">
        <w:rPr>
          <w:rFonts w:eastAsiaTheme="minorHAnsi"/>
          <w:lang w:val="fr-FR"/>
        </w:rPr>
        <w:t>au centre de détention depuis le départ en retraite,</w:t>
      </w:r>
      <w:r w:rsidR="001E02F5" w:rsidRPr="00520AD0">
        <w:rPr>
          <w:lang w:val="fr-FR"/>
        </w:rPr>
        <w:t xml:space="preserve"> </w:t>
      </w:r>
      <w:r w:rsidR="001E02F5" w:rsidRPr="00475701">
        <w:rPr>
          <w:rFonts w:eastAsiaTheme="minorHAnsi"/>
          <w:lang w:val="fr-FR"/>
        </w:rPr>
        <w:t>en 2009, de celui qui assurait ce service. Plusieurs détenus s</w:t>
      </w:r>
      <w:r w:rsidR="005A6B8A">
        <w:rPr>
          <w:rFonts w:eastAsiaTheme="minorHAnsi"/>
          <w:lang w:val="fr-FR"/>
        </w:rPr>
        <w:t>’</w:t>
      </w:r>
      <w:r w:rsidR="001E02F5" w:rsidRPr="00475701">
        <w:rPr>
          <w:rFonts w:eastAsiaTheme="minorHAnsi"/>
          <w:lang w:val="fr-FR"/>
        </w:rPr>
        <w:t>en sont plaints</w:t>
      </w:r>
      <w:r w:rsidR="001E02F5">
        <w:rPr>
          <w:rFonts w:eastAsiaTheme="minorHAnsi"/>
          <w:lang w:val="fr-FR"/>
        </w:rPr>
        <w:t> »</w:t>
      </w:r>
      <w:r w:rsidR="001E02F5" w:rsidRPr="00475701">
        <w:rPr>
          <w:rFonts w:eastAsiaTheme="minorHAnsi"/>
          <w:lang w:val="fr-FR"/>
        </w:rPr>
        <w:t>.</w:t>
      </w:r>
    </w:p>
    <w:p w:rsidR="00E77CB3" w:rsidRPr="00AD412E" w:rsidRDefault="00E77CB3" w:rsidP="00E77CB3">
      <w:pPr>
        <w:pStyle w:val="ECHRTitle1"/>
        <w:rPr>
          <w:lang w:val="fr-FR"/>
        </w:rPr>
      </w:pPr>
      <w:r w:rsidRPr="00AD412E">
        <w:rPr>
          <w:lang w:val="fr-FR"/>
        </w:rPr>
        <w:t>EN DROIT</w:t>
      </w:r>
    </w:p>
    <w:p w:rsidR="00E77CB3" w:rsidRPr="00AD412E" w:rsidRDefault="00E77CB3" w:rsidP="00C63990">
      <w:pPr>
        <w:pStyle w:val="ECHRHeading1"/>
        <w:rPr>
          <w:lang w:val="fr-FR"/>
        </w:rPr>
      </w:pPr>
      <w:r w:rsidRPr="00AD412E">
        <w:rPr>
          <w:lang w:val="fr-FR"/>
        </w:rPr>
        <w:t>I.  SUR LA VIOLATION ALLÉGUÉE DE L</w:t>
      </w:r>
      <w:r w:rsidR="005A6B8A">
        <w:rPr>
          <w:lang w:val="fr-FR"/>
        </w:rPr>
        <w:t>’</w:t>
      </w:r>
      <w:r w:rsidRPr="00AD412E">
        <w:rPr>
          <w:lang w:val="fr-FR"/>
        </w:rPr>
        <w:t xml:space="preserve">ARTICLE </w:t>
      </w:r>
      <w:r w:rsidR="00320F8F">
        <w:rPr>
          <w:lang w:val="fr-FR"/>
        </w:rPr>
        <w:t>3</w:t>
      </w:r>
      <w:r w:rsidRPr="00AD412E">
        <w:rPr>
          <w:lang w:val="fr-FR"/>
        </w:rPr>
        <w:t xml:space="preserve"> DE LA CONVENTION</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34</w:t>
      </w:r>
      <w:r>
        <w:rPr>
          <w:lang w:val="fr-FR"/>
        </w:rPr>
        <w:fldChar w:fldCharType="end"/>
      </w:r>
      <w:r w:rsidR="00E77CB3" w:rsidRPr="00AD412E">
        <w:rPr>
          <w:lang w:val="fr-FR"/>
        </w:rPr>
        <w:t>.  </w:t>
      </w:r>
      <w:r w:rsidRPr="00AD412E">
        <w:rPr>
          <w:lang w:val="fr-FR"/>
        </w:rPr>
        <w:t>Le requérant</w:t>
      </w:r>
      <w:r w:rsidR="00E77CB3" w:rsidRPr="00AD412E">
        <w:rPr>
          <w:lang w:val="fr-FR"/>
        </w:rPr>
        <w:t xml:space="preserve"> </w:t>
      </w:r>
      <w:r w:rsidR="00476791">
        <w:rPr>
          <w:lang w:val="fr-FR"/>
        </w:rPr>
        <w:t>se plaint de</w:t>
      </w:r>
      <w:r w:rsidR="004B0266">
        <w:rPr>
          <w:lang w:val="fr-FR"/>
        </w:rPr>
        <w:t xml:space="preserve"> subir un traitement contraire</w:t>
      </w:r>
      <w:r w:rsidR="003F5F05">
        <w:rPr>
          <w:lang w:val="fr-FR"/>
        </w:rPr>
        <w:t xml:space="preserve"> à l</w:t>
      </w:r>
      <w:r w:rsidR="005A6B8A">
        <w:rPr>
          <w:lang w:val="fr-FR"/>
        </w:rPr>
        <w:t>’</w:t>
      </w:r>
      <w:r w:rsidR="003F5F05">
        <w:rPr>
          <w:lang w:val="fr-FR"/>
        </w:rPr>
        <w:t>article 3 de la Convention</w:t>
      </w:r>
      <w:r w:rsidR="004B0266">
        <w:rPr>
          <w:lang w:val="fr-FR"/>
        </w:rPr>
        <w:t xml:space="preserve"> du fait de</w:t>
      </w:r>
      <w:r w:rsidR="00476791">
        <w:rPr>
          <w:lang w:val="fr-FR"/>
        </w:rPr>
        <w:t xml:space="preserve"> l</w:t>
      </w:r>
      <w:r w:rsidR="005A6B8A">
        <w:rPr>
          <w:lang w:val="fr-FR"/>
        </w:rPr>
        <w:t>’</w:t>
      </w:r>
      <w:r w:rsidR="00476791">
        <w:rPr>
          <w:lang w:val="fr-FR"/>
        </w:rPr>
        <w:t>inacces</w:t>
      </w:r>
      <w:r w:rsidR="003F5F05">
        <w:rPr>
          <w:lang w:val="fr-FR"/>
        </w:rPr>
        <w:t>sibilité des soins en détention. La disposition invoquée par le requérant</w:t>
      </w:r>
      <w:r w:rsidR="00476791">
        <w:rPr>
          <w:lang w:val="fr-FR"/>
        </w:rPr>
        <w:t xml:space="preserve"> </w:t>
      </w:r>
      <w:r w:rsidR="003F5F05">
        <w:rPr>
          <w:lang w:val="fr-FR"/>
        </w:rPr>
        <w:t xml:space="preserve">est </w:t>
      </w:r>
      <w:r w:rsidR="00E77CB3" w:rsidRPr="00AD412E">
        <w:rPr>
          <w:lang w:val="fr-FR"/>
        </w:rPr>
        <w:t>ainsi libellé</w:t>
      </w:r>
      <w:r w:rsidR="003F5F05">
        <w:rPr>
          <w:lang w:val="fr-FR"/>
        </w:rPr>
        <w:t>e</w:t>
      </w:r>
      <w:r w:rsidR="00E77CB3" w:rsidRPr="00AD412E">
        <w:rPr>
          <w:lang w:val="fr-FR"/>
        </w:rPr>
        <w:t> :</w:t>
      </w:r>
    </w:p>
    <w:p w:rsidR="00E77CB3" w:rsidRPr="00D660C5" w:rsidRDefault="00D660C5" w:rsidP="00E77CB3">
      <w:pPr>
        <w:pStyle w:val="ECHRParaQuote"/>
        <w:rPr>
          <w:lang w:val="fr-FR"/>
        </w:rPr>
      </w:pPr>
      <w:r w:rsidRPr="00D660C5">
        <w:rPr>
          <w:lang w:val="fr-FR"/>
        </w:rPr>
        <w:t>« Nul ne peut être soumis à la torture ni à des peines ou traitements inhumains ou dégradants. »</w:t>
      </w:r>
    </w:p>
    <w:p w:rsidR="00E77CB3" w:rsidRPr="00AD412E" w:rsidRDefault="00E77CB3" w:rsidP="00EA4DEF">
      <w:pPr>
        <w:pStyle w:val="ECHRHeading2"/>
        <w:rPr>
          <w:lang w:val="fr-FR"/>
        </w:rPr>
      </w:pPr>
      <w:r w:rsidRPr="00AD412E">
        <w:rPr>
          <w:lang w:val="fr-FR"/>
        </w:rPr>
        <w:t>A.  Sur la recevabilité</w:t>
      </w:r>
    </w:p>
    <w:p w:rsidR="00067570" w:rsidRDefault="00366F97" w:rsidP="00F04646">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35</w:t>
      </w:r>
      <w:r>
        <w:rPr>
          <w:lang w:val="fr-FR"/>
        </w:rPr>
        <w:fldChar w:fldCharType="end"/>
      </w:r>
      <w:r>
        <w:rPr>
          <w:lang w:val="fr-FR"/>
        </w:rPr>
        <w:t>.  </w:t>
      </w:r>
      <w:r w:rsidR="00FF245C">
        <w:rPr>
          <w:lang w:val="fr-FR"/>
        </w:rPr>
        <w:t>L</w:t>
      </w:r>
      <w:r>
        <w:rPr>
          <w:lang w:val="fr-FR"/>
        </w:rPr>
        <w:t>e Gouver</w:t>
      </w:r>
      <w:r w:rsidR="009C217B">
        <w:rPr>
          <w:lang w:val="fr-FR"/>
        </w:rPr>
        <w:t>neme</w:t>
      </w:r>
      <w:r w:rsidR="00FF245C">
        <w:rPr>
          <w:lang w:val="fr-FR"/>
        </w:rPr>
        <w:t xml:space="preserve">nt </w:t>
      </w:r>
      <w:r w:rsidR="009C217B">
        <w:rPr>
          <w:lang w:val="fr-FR"/>
        </w:rPr>
        <w:t>demande de rejeter la</w:t>
      </w:r>
      <w:r>
        <w:rPr>
          <w:lang w:val="fr-FR"/>
        </w:rPr>
        <w:t xml:space="preserve"> </w:t>
      </w:r>
      <w:r w:rsidR="009C217B">
        <w:rPr>
          <w:lang w:val="fr-FR"/>
        </w:rPr>
        <w:t>requête c</w:t>
      </w:r>
      <w:r>
        <w:rPr>
          <w:lang w:val="fr-FR"/>
        </w:rPr>
        <w:t>omme étant manifestement mal fondé</w:t>
      </w:r>
      <w:r w:rsidR="009C217B">
        <w:rPr>
          <w:lang w:val="fr-FR"/>
        </w:rPr>
        <w:t>e</w:t>
      </w:r>
      <w:r>
        <w:rPr>
          <w:lang w:val="fr-FR"/>
        </w:rPr>
        <w:t>.</w:t>
      </w:r>
    </w:p>
    <w:p w:rsidR="00531AB6" w:rsidRPr="00D14E16" w:rsidRDefault="00D14E16" w:rsidP="007716DA">
      <w:pPr>
        <w:pStyle w:val="ECHRPara"/>
        <w:rPr>
          <w:lang w:val="fr-FR"/>
        </w:rPr>
      </w:pPr>
      <w:r>
        <w:fldChar w:fldCharType="begin"/>
      </w:r>
      <w:r w:rsidRPr="00D14E16">
        <w:rPr>
          <w:lang w:val="fr-FR"/>
        </w:rPr>
        <w:instrText xml:space="preserve"> SEQ level0 \*arabic </w:instrText>
      </w:r>
      <w:r>
        <w:fldChar w:fldCharType="separate"/>
      </w:r>
      <w:r w:rsidR="00746EA9">
        <w:rPr>
          <w:noProof/>
          <w:lang w:val="fr-FR"/>
        </w:rPr>
        <w:t>36</w:t>
      </w:r>
      <w:r>
        <w:fldChar w:fldCharType="end"/>
      </w:r>
      <w:r w:rsidR="00366F97" w:rsidRPr="00D14E16">
        <w:rPr>
          <w:lang w:val="fr-FR"/>
        </w:rPr>
        <w:t>.  </w:t>
      </w:r>
      <w:r w:rsidR="00E77CB3" w:rsidRPr="00D14E16">
        <w:rPr>
          <w:lang w:val="fr-FR"/>
        </w:rPr>
        <w:t xml:space="preserve">La Cour </w:t>
      </w:r>
      <w:r w:rsidR="007716DA" w:rsidRPr="00D14E16">
        <w:rPr>
          <w:lang w:val="fr-FR"/>
        </w:rPr>
        <w:t>considère</w:t>
      </w:r>
      <w:r w:rsidR="00E77CB3" w:rsidRPr="00D14E16">
        <w:rPr>
          <w:lang w:val="fr-FR"/>
        </w:rPr>
        <w:t xml:space="preserve"> que </w:t>
      </w:r>
      <w:r w:rsidR="00CF6A83" w:rsidRPr="00D14E16">
        <w:rPr>
          <w:lang w:val="fr-FR"/>
        </w:rPr>
        <w:t xml:space="preserve">la requête </w:t>
      </w:r>
      <w:r w:rsidR="00E77CB3" w:rsidRPr="00D14E16">
        <w:rPr>
          <w:lang w:val="fr-FR"/>
        </w:rPr>
        <w:t>n</w:t>
      </w:r>
      <w:r w:rsidR="005A6B8A">
        <w:rPr>
          <w:lang w:val="fr-FR"/>
        </w:rPr>
        <w:t>’</w:t>
      </w:r>
      <w:r w:rsidR="00E77CB3" w:rsidRPr="00D14E16">
        <w:rPr>
          <w:lang w:val="fr-FR"/>
        </w:rPr>
        <w:t>est pas manifestement mal fondée au sens de l</w:t>
      </w:r>
      <w:r w:rsidR="005A6B8A">
        <w:rPr>
          <w:lang w:val="fr-FR"/>
        </w:rPr>
        <w:t>’</w:t>
      </w:r>
      <w:r w:rsidR="00E77CB3" w:rsidRPr="00D14E16">
        <w:rPr>
          <w:lang w:val="fr-FR"/>
        </w:rPr>
        <w:t>article 35 § 3 a) de la Convention. La Cour relève par ailleurs qu</w:t>
      </w:r>
      <w:r w:rsidR="005A6B8A">
        <w:rPr>
          <w:lang w:val="fr-FR"/>
        </w:rPr>
        <w:t>’</w:t>
      </w:r>
      <w:r w:rsidR="00E77CB3" w:rsidRPr="00D14E16">
        <w:rPr>
          <w:lang w:val="fr-FR"/>
        </w:rPr>
        <w:t>elle ne se heurte à aucun autre motif d</w:t>
      </w:r>
      <w:r w:rsidR="005A6B8A">
        <w:rPr>
          <w:lang w:val="fr-FR"/>
        </w:rPr>
        <w:t>’</w:t>
      </w:r>
      <w:r w:rsidR="00E77CB3" w:rsidRPr="00D14E16">
        <w:rPr>
          <w:lang w:val="fr-FR"/>
        </w:rPr>
        <w:t>irrecevabilité. Il convient donc de la déclarer recevable.</w:t>
      </w:r>
    </w:p>
    <w:p w:rsidR="00E77CB3" w:rsidRDefault="00E77CB3" w:rsidP="00EA4DEF">
      <w:pPr>
        <w:pStyle w:val="ECHRHeading2"/>
        <w:rPr>
          <w:lang w:val="fr-FR"/>
        </w:rPr>
      </w:pPr>
      <w:r w:rsidRPr="00AD412E">
        <w:rPr>
          <w:lang w:val="fr-FR"/>
        </w:rPr>
        <w:t>B.  Sur le fond</w:t>
      </w:r>
    </w:p>
    <w:p w:rsidR="00067570" w:rsidRDefault="00E13CD0" w:rsidP="007C7546">
      <w:pPr>
        <w:pStyle w:val="ECHRHeading3"/>
        <w:rPr>
          <w:lang w:val="fr-FR"/>
        </w:rPr>
      </w:pPr>
      <w:r>
        <w:rPr>
          <w:lang w:val="fr-FR"/>
        </w:rPr>
        <w:t>1.  </w:t>
      </w:r>
      <w:r w:rsidR="007C7546">
        <w:rPr>
          <w:lang w:val="fr-FR"/>
        </w:rPr>
        <w:t>Thèses des parties</w:t>
      </w:r>
    </w:p>
    <w:p w:rsidR="00067570" w:rsidRDefault="00A37952" w:rsidP="00D811A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37</w:t>
      </w:r>
      <w:r>
        <w:rPr>
          <w:lang w:val="fr-FR"/>
        </w:rPr>
        <w:fldChar w:fldCharType="end"/>
      </w:r>
      <w:r w:rsidR="00E77CB3" w:rsidRPr="00AD412E">
        <w:rPr>
          <w:lang w:val="fr-FR"/>
        </w:rPr>
        <w:t>.  </w:t>
      </w:r>
      <w:r w:rsidRPr="00AD412E">
        <w:rPr>
          <w:lang w:val="fr-FR"/>
        </w:rPr>
        <w:t>Le requérant</w:t>
      </w:r>
      <w:r w:rsidR="00E50099">
        <w:rPr>
          <w:lang w:val="fr-FR"/>
        </w:rPr>
        <w:t xml:space="preserve"> estime</w:t>
      </w:r>
      <w:r w:rsidR="0052236E">
        <w:rPr>
          <w:lang w:val="fr-FR"/>
        </w:rPr>
        <w:t xml:space="preserve"> tout d</w:t>
      </w:r>
      <w:r w:rsidR="005A6B8A">
        <w:rPr>
          <w:lang w:val="fr-FR"/>
        </w:rPr>
        <w:t>’</w:t>
      </w:r>
      <w:r w:rsidR="0052236E">
        <w:rPr>
          <w:lang w:val="fr-FR"/>
        </w:rPr>
        <w:t>abord que les conditions de son incarcération sont contraires à la dignité, et</w:t>
      </w:r>
      <w:r w:rsidR="004167DE">
        <w:rPr>
          <w:lang w:val="fr-FR"/>
        </w:rPr>
        <w:t xml:space="preserve"> souligne à cet égard</w:t>
      </w:r>
      <w:r w:rsidR="0052236E">
        <w:rPr>
          <w:lang w:val="fr-FR"/>
        </w:rPr>
        <w:t xml:space="preserve"> la position du juge de l</w:t>
      </w:r>
      <w:r w:rsidR="005A6B8A">
        <w:rPr>
          <w:lang w:val="fr-FR"/>
        </w:rPr>
        <w:t>’</w:t>
      </w:r>
      <w:r w:rsidR="0052236E">
        <w:rPr>
          <w:lang w:val="fr-FR"/>
        </w:rPr>
        <w:t>application des peines et de la chambre d</w:t>
      </w:r>
      <w:r w:rsidR="005A6B8A">
        <w:rPr>
          <w:lang w:val="fr-FR"/>
        </w:rPr>
        <w:t>’</w:t>
      </w:r>
      <w:r w:rsidR="0052236E">
        <w:rPr>
          <w:lang w:val="fr-FR"/>
        </w:rPr>
        <w:t>application des peines, dont le Gouvernement prend le contrepied, qui conditionnent le maintien en détention à la présence de locaux adaptés à son handicap et à l</w:t>
      </w:r>
      <w:r w:rsidR="005A6B8A">
        <w:rPr>
          <w:lang w:val="fr-FR"/>
        </w:rPr>
        <w:t>’</w:t>
      </w:r>
      <w:r w:rsidR="0052236E">
        <w:rPr>
          <w:lang w:val="fr-FR"/>
        </w:rPr>
        <w:t xml:space="preserve">accessibilité des soins. </w:t>
      </w:r>
      <w:r w:rsidR="0063276F">
        <w:rPr>
          <w:lang w:val="fr-FR"/>
        </w:rPr>
        <w:t xml:space="preserve">Il soutient </w:t>
      </w:r>
      <w:r w:rsidR="00E50099">
        <w:rPr>
          <w:lang w:val="fr-FR"/>
        </w:rPr>
        <w:t>que l</w:t>
      </w:r>
      <w:r w:rsidR="0063276F">
        <w:rPr>
          <w:lang w:val="fr-FR"/>
        </w:rPr>
        <w:t>a position du Gouvernement est d</w:t>
      </w:r>
      <w:r w:rsidR="005A6B8A">
        <w:rPr>
          <w:lang w:val="fr-FR"/>
        </w:rPr>
        <w:t>’</w:t>
      </w:r>
      <w:r w:rsidR="0063276F">
        <w:rPr>
          <w:lang w:val="fr-FR"/>
        </w:rPr>
        <w:t xml:space="preserve">autant moins acceptable </w:t>
      </w:r>
      <w:r w:rsidR="001F688B">
        <w:rPr>
          <w:lang w:val="fr-FR"/>
        </w:rPr>
        <w:t>que ces juridictions s</w:t>
      </w:r>
      <w:r w:rsidR="005A6B8A">
        <w:rPr>
          <w:lang w:val="fr-FR"/>
        </w:rPr>
        <w:t>’</w:t>
      </w:r>
      <w:r w:rsidR="001F688B">
        <w:rPr>
          <w:lang w:val="fr-FR"/>
        </w:rPr>
        <w:t>en tiennent aux aspects les plus immédiatement visibles de sa situation, à savoir la question de la configuration des locaux et des soins accessibles en détention.</w:t>
      </w:r>
      <w:r w:rsidR="00531AB6">
        <w:rPr>
          <w:lang w:val="fr-FR"/>
        </w:rPr>
        <w:t xml:space="preserve"> </w:t>
      </w:r>
      <w:r w:rsidR="00443828">
        <w:rPr>
          <w:lang w:val="fr-FR"/>
        </w:rPr>
        <w:t>Se référant</w:t>
      </w:r>
      <w:r w:rsidR="00531AB6">
        <w:rPr>
          <w:lang w:val="fr-FR"/>
        </w:rPr>
        <w:t xml:space="preserve"> </w:t>
      </w:r>
      <w:r w:rsidR="00443828">
        <w:rPr>
          <w:lang w:val="fr-FR"/>
        </w:rPr>
        <w:t>aux</w:t>
      </w:r>
      <w:r w:rsidR="001F688B">
        <w:rPr>
          <w:lang w:val="fr-FR"/>
        </w:rPr>
        <w:t xml:space="preserve"> rapport</w:t>
      </w:r>
      <w:r w:rsidR="00531AB6">
        <w:rPr>
          <w:lang w:val="fr-FR"/>
        </w:rPr>
        <w:t>s du CGLPL et du groupe de travail interministériel Justice</w:t>
      </w:r>
      <w:r w:rsidR="00C27879">
        <w:rPr>
          <w:lang w:val="fr-FR"/>
        </w:rPr>
        <w:t>/S</w:t>
      </w:r>
      <w:r w:rsidR="00531AB6">
        <w:rPr>
          <w:lang w:val="fr-FR"/>
        </w:rPr>
        <w:t>an</w:t>
      </w:r>
      <w:r w:rsidR="00952466">
        <w:rPr>
          <w:lang w:val="fr-FR"/>
        </w:rPr>
        <w:t>té mentionnés aux paragraphes 29</w:t>
      </w:r>
      <w:r w:rsidR="00531AB6">
        <w:rPr>
          <w:lang w:val="fr-FR"/>
        </w:rPr>
        <w:t xml:space="preserve"> et 3</w:t>
      </w:r>
      <w:r w:rsidR="00952466">
        <w:rPr>
          <w:lang w:val="fr-FR"/>
        </w:rPr>
        <w:t>0</w:t>
      </w:r>
      <w:r w:rsidR="00531AB6">
        <w:rPr>
          <w:lang w:val="fr-FR"/>
        </w:rPr>
        <w:t xml:space="preserve"> ci-dessus</w:t>
      </w:r>
      <w:r w:rsidR="001F688B">
        <w:rPr>
          <w:lang w:val="fr-FR"/>
        </w:rPr>
        <w:t xml:space="preserve">, </w:t>
      </w:r>
      <w:r w:rsidR="00531AB6">
        <w:rPr>
          <w:lang w:val="fr-FR"/>
        </w:rPr>
        <w:t xml:space="preserve">il estime </w:t>
      </w:r>
      <w:r w:rsidR="001F688B">
        <w:rPr>
          <w:lang w:val="fr-FR"/>
        </w:rPr>
        <w:t xml:space="preserve">que les autorités compétentes </w:t>
      </w:r>
      <w:r w:rsidR="004167DE">
        <w:rPr>
          <w:lang w:val="fr-FR"/>
        </w:rPr>
        <w:t>ont</w:t>
      </w:r>
      <w:r w:rsidR="00477867">
        <w:rPr>
          <w:lang w:val="fr-FR"/>
        </w:rPr>
        <w:t xml:space="preserve"> u</w:t>
      </w:r>
      <w:r w:rsidR="001F688B">
        <w:rPr>
          <w:lang w:val="fr-FR"/>
        </w:rPr>
        <w:t>n</w:t>
      </w:r>
      <w:r w:rsidR="00477867">
        <w:rPr>
          <w:lang w:val="fr-FR"/>
        </w:rPr>
        <w:t>e</w:t>
      </w:r>
      <w:r w:rsidR="001F688B">
        <w:rPr>
          <w:lang w:val="fr-FR"/>
        </w:rPr>
        <w:t xml:space="preserve"> </w:t>
      </w:r>
      <w:r w:rsidR="004167DE">
        <w:rPr>
          <w:lang w:val="fr-FR"/>
        </w:rPr>
        <w:t>appréciation</w:t>
      </w:r>
      <w:r w:rsidR="00477867">
        <w:rPr>
          <w:lang w:val="fr-FR"/>
        </w:rPr>
        <w:t xml:space="preserve"> de la dignité limitée à la question de </w:t>
      </w:r>
      <w:r w:rsidR="00E50099">
        <w:rPr>
          <w:lang w:val="fr-FR"/>
        </w:rPr>
        <w:t>l</w:t>
      </w:r>
      <w:r w:rsidR="005A6B8A">
        <w:rPr>
          <w:lang w:val="fr-FR"/>
        </w:rPr>
        <w:t>’</w:t>
      </w:r>
      <w:r w:rsidR="00E50099">
        <w:rPr>
          <w:lang w:val="fr-FR"/>
        </w:rPr>
        <w:t xml:space="preserve">offre de soin </w:t>
      </w:r>
      <w:r w:rsidR="00477867">
        <w:rPr>
          <w:lang w:val="fr-FR"/>
        </w:rPr>
        <w:t xml:space="preserve">et non pas </w:t>
      </w:r>
      <w:r w:rsidR="00531AB6">
        <w:rPr>
          <w:lang w:val="fr-FR"/>
        </w:rPr>
        <w:t xml:space="preserve">à celle </w:t>
      </w:r>
      <w:r w:rsidR="00477867">
        <w:rPr>
          <w:lang w:val="fr-FR"/>
        </w:rPr>
        <w:t>d</w:t>
      </w:r>
      <w:r w:rsidR="00E50099">
        <w:rPr>
          <w:lang w:val="fr-FR"/>
        </w:rPr>
        <w:t>es conditi</w:t>
      </w:r>
      <w:r w:rsidR="001F688B">
        <w:rPr>
          <w:lang w:val="fr-FR"/>
        </w:rPr>
        <w:t>ons concrètes d</w:t>
      </w:r>
      <w:r w:rsidR="005A6B8A">
        <w:rPr>
          <w:lang w:val="fr-FR"/>
        </w:rPr>
        <w:t>’</w:t>
      </w:r>
      <w:r w:rsidR="001F688B">
        <w:rPr>
          <w:lang w:val="fr-FR"/>
        </w:rPr>
        <w:t>existence.</w:t>
      </w:r>
      <w:r w:rsidR="00477867">
        <w:rPr>
          <w:lang w:val="fr-FR"/>
        </w:rPr>
        <w:t xml:space="preserve"> </w:t>
      </w:r>
      <w:r w:rsidR="00443828">
        <w:rPr>
          <w:lang w:val="fr-FR"/>
        </w:rPr>
        <w:t>Or, l</w:t>
      </w:r>
      <w:r w:rsidR="005A6B8A">
        <w:rPr>
          <w:lang w:val="fr-FR"/>
        </w:rPr>
        <w:t>’</w:t>
      </w:r>
      <w:r w:rsidR="00477867">
        <w:rPr>
          <w:lang w:val="fr-FR"/>
        </w:rPr>
        <w:t>état de totale dépendance dans lequel il se trouve vis-à-vis du détenu auxiliaire, les conditions dans lesquel</w:t>
      </w:r>
      <w:r w:rsidR="00E13CD0">
        <w:rPr>
          <w:lang w:val="fr-FR"/>
        </w:rPr>
        <w:t>le</w:t>
      </w:r>
      <w:r w:rsidR="00477867">
        <w:rPr>
          <w:lang w:val="fr-FR"/>
        </w:rPr>
        <w:t>s il prend sa douche, les mesures de sécurité qui lui sont imposées lors des extractions et les fouilles corporelles constituent</w:t>
      </w:r>
      <w:r w:rsidR="00531AB6">
        <w:rPr>
          <w:lang w:val="fr-FR"/>
        </w:rPr>
        <w:t>, de son avis,</w:t>
      </w:r>
      <w:r w:rsidR="00477867">
        <w:rPr>
          <w:lang w:val="fr-FR"/>
        </w:rPr>
        <w:t xml:space="preserve"> des humiliations à répétitio</w:t>
      </w:r>
      <w:r w:rsidR="00443828">
        <w:rPr>
          <w:lang w:val="fr-FR"/>
        </w:rPr>
        <w:t>n qui ébranlent s</w:t>
      </w:r>
      <w:r w:rsidR="00531AB6">
        <w:rPr>
          <w:lang w:val="fr-FR"/>
        </w:rPr>
        <w:t>a personnalité. Il</w:t>
      </w:r>
      <w:r w:rsidR="004C3599">
        <w:rPr>
          <w:lang w:val="fr-FR"/>
        </w:rPr>
        <w:t xml:space="preserve"> fait valoir que toutes ces </w:t>
      </w:r>
      <w:r w:rsidR="00531AB6">
        <w:rPr>
          <w:lang w:val="fr-FR"/>
        </w:rPr>
        <w:t xml:space="preserve">mesures </w:t>
      </w:r>
      <w:r w:rsidR="00477867">
        <w:rPr>
          <w:lang w:val="fr-FR"/>
        </w:rPr>
        <w:t>ont été jugée</w:t>
      </w:r>
      <w:r w:rsidR="009C1AEE">
        <w:rPr>
          <w:lang w:val="fr-FR"/>
        </w:rPr>
        <w:t>s</w:t>
      </w:r>
      <w:r w:rsidR="00477867">
        <w:rPr>
          <w:lang w:val="fr-FR"/>
        </w:rPr>
        <w:t xml:space="preserve"> inhumaines et dégradantes par la Cour (</w:t>
      </w:r>
      <w:r w:rsidR="00C167BC" w:rsidRPr="00C167BC">
        <w:rPr>
          <w:i/>
          <w:lang w:val="fr-FR"/>
        </w:rPr>
        <w:t>Vincent c. France</w:t>
      </w:r>
      <w:r w:rsidR="00C167BC" w:rsidRPr="00C167BC">
        <w:rPr>
          <w:lang w:val="fr-FR"/>
        </w:rPr>
        <w:t>, n</w:t>
      </w:r>
      <w:r w:rsidR="00C167BC" w:rsidRPr="00C167BC">
        <w:rPr>
          <w:vertAlign w:val="superscript"/>
          <w:lang w:val="fr-FR"/>
        </w:rPr>
        <w:t>o</w:t>
      </w:r>
      <w:r w:rsidR="00E13CD0">
        <w:rPr>
          <w:lang w:val="fr-FR"/>
        </w:rPr>
        <w:t xml:space="preserve"> 6253/03, 24 </w:t>
      </w:r>
      <w:r w:rsidR="00C167BC" w:rsidRPr="00C167BC">
        <w:rPr>
          <w:lang w:val="fr-FR"/>
        </w:rPr>
        <w:t>octobre 2006</w:t>
      </w:r>
      <w:r w:rsidR="00C167BC">
        <w:rPr>
          <w:lang w:val="fr-FR"/>
        </w:rPr>
        <w:t> ;</w:t>
      </w:r>
      <w:r w:rsidR="00443828" w:rsidRPr="00477867">
        <w:rPr>
          <w:i/>
          <w:lang w:val="fr-FR"/>
        </w:rPr>
        <w:t xml:space="preserve"> </w:t>
      </w:r>
      <w:r w:rsidR="00477867" w:rsidRPr="00477867">
        <w:rPr>
          <w:i/>
          <w:lang w:val="fr-FR"/>
        </w:rPr>
        <w:t>Khider c. France</w:t>
      </w:r>
      <w:r w:rsidR="00477867" w:rsidRPr="00477867">
        <w:rPr>
          <w:lang w:val="fr-FR"/>
        </w:rPr>
        <w:t>, n</w:t>
      </w:r>
      <w:r w:rsidR="00477867" w:rsidRPr="00477867">
        <w:rPr>
          <w:vertAlign w:val="superscript"/>
          <w:lang w:val="fr-FR"/>
        </w:rPr>
        <w:t>o</w:t>
      </w:r>
      <w:r w:rsidR="00477867" w:rsidRPr="00477867">
        <w:rPr>
          <w:lang w:val="fr-FR"/>
        </w:rPr>
        <w:t xml:space="preserve"> 39364/05</w:t>
      </w:r>
      <w:r w:rsidR="009C217B">
        <w:rPr>
          <w:snapToGrid w:val="0"/>
          <w:lang w:val="fr-FR"/>
        </w:rPr>
        <w:t xml:space="preserve">, </w:t>
      </w:r>
      <w:r w:rsidR="00094125">
        <w:rPr>
          <w:snapToGrid w:val="0"/>
          <w:lang w:val="fr-FR"/>
        </w:rPr>
        <w:t>9</w:t>
      </w:r>
      <w:r w:rsidR="00477867" w:rsidRPr="00477867">
        <w:rPr>
          <w:snapToGrid w:val="0"/>
          <w:lang w:val="fr-FR"/>
        </w:rPr>
        <w:t xml:space="preserve"> </w:t>
      </w:r>
      <w:r w:rsidR="00477867" w:rsidRPr="00477867">
        <w:rPr>
          <w:lang w:val="fr-FR"/>
        </w:rPr>
        <w:t>juillet</w:t>
      </w:r>
      <w:r w:rsidR="00477867" w:rsidRPr="00477867">
        <w:rPr>
          <w:snapToGrid w:val="0"/>
          <w:lang w:val="fr-FR"/>
        </w:rPr>
        <w:t xml:space="preserve"> 2009</w:t>
      </w:r>
      <w:r w:rsidR="009C1AEE">
        <w:rPr>
          <w:snapToGrid w:val="0"/>
          <w:lang w:val="fr-FR"/>
        </w:rPr>
        <w:t xml:space="preserve"> ; </w:t>
      </w:r>
      <w:r w:rsidR="00E13CD0">
        <w:rPr>
          <w:i/>
          <w:lang w:val="fr-FR"/>
        </w:rPr>
        <w:t>Duval c. </w:t>
      </w:r>
      <w:r w:rsidR="009C1AEE" w:rsidRPr="009C1AEE">
        <w:rPr>
          <w:i/>
          <w:lang w:val="fr-FR"/>
        </w:rPr>
        <w:t>France</w:t>
      </w:r>
      <w:r w:rsidR="009C1AEE" w:rsidRPr="009C1AEE">
        <w:rPr>
          <w:lang w:val="fr-FR"/>
        </w:rPr>
        <w:t>, n</w:t>
      </w:r>
      <w:r w:rsidR="009C1AEE" w:rsidRPr="009C1AEE">
        <w:rPr>
          <w:vertAlign w:val="superscript"/>
          <w:lang w:val="fr-FR"/>
        </w:rPr>
        <w:t>o</w:t>
      </w:r>
      <w:r w:rsidR="009C1AEE" w:rsidRPr="009C1AEE">
        <w:rPr>
          <w:lang w:val="fr-FR"/>
        </w:rPr>
        <w:t xml:space="preserve"> 19868/08</w:t>
      </w:r>
      <w:r w:rsidR="009C1AEE" w:rsidRPr="009C1AEE">
        <w:rPr>
          <w:snapToGrid w:val="0"/>
          <w:szCs w:val="24"/>
          <w:lang w:val="fr-FR"/>
        </w:rPr>
        <w:t xml:space="preserve">, 26 </w:t>
      </w:r>
      <w:r w:rsidR="009C1AEE" w:rsidRPr="009C1AEE">
        <w:rPr>
          <w:szCs w:val="24"/>
          <w:lang w:val="fr-FR"/>
        </w:rPr>
        <w:t>mai</w:t>
      </w:r>
      <w:r w:rsidR="009C1AEE" w:rsidRPr="009C1AEE">
        <w:rPr>
          <w:snapToGrid w:val="0"/>
          <w:szCs w:val="24"/>
          <w:lang w:val="fr-FR"/>
        </w:rPr>
        <w:t xml:space="preserve"> 2011</w:t>
      </w:r>
      <w:r w:rsidR="004C3599">
        <w:rPr>
          <w:snapToGrid w:val="0"/>
          <w:szCs w:val="24"/>
          <w:lang w:val="fr-FR"/>
        </w:rPr>
        <w:t xml:space="preserve">), et </w:t>
      </w:r>
      <w:r w:rsidR="004167DE">
        <w:rPr>
          <w:snapToGrid w:val="0"/>
          <w:szCs w:val="24"/>
          <w:lang w:val="fr-FR"/>
        </w:rPr>
        <w:t>que la même conclusion s</w:t>
      </w:r>
      <w:r w:rsidR="005A6B8A">
        <w:rPr>
          <w:snapToGrid w:val="0"/>
          <w:szCs w:val="24"/>
          <w:lang w:val="fr-FR"/>
        </w:rPr>
        <w:t>’</w:t>
      </w:r>
      <w:r w:rsidR="004167DE">
        <w:rPr>
          <w:snapToGrid w:val="0"/>
          <w:szCs w:val="24"/>
          <w:lang w:val="fr-FR"/>
        </w:rPr>
        <w:t>impose dans son cas,</w:t>
      </w:r>
      <w:r w:rsidR="004C3599">
        <w:rPr>
          <w:lang w:val="fr-FR"/>
        </w:rPr>
        <w:t xml:space="preserve"> </w:t>
      </w:r>
      <w:r w:rsidR="00D811A0">
        <w:rPr>
          <w:lang w:val="fr-FR"/>
        </w:rPr>
        <w:t>compte tenu de l</w:t>
      </w:r>
      <w:r w:rsidR="005A6B8A">
        <w:rPr>
          <w:lang w:val="fr-FR"/>
        </w:rPr>
        <w:t>’</w:t>
      </w:r>
      <w:r w:rsidR="00D811A0">
        <w:rPr>
          <w:lang w:val="fr-FR"/>
        </w:rPr>
        <w:t xml:space="preserve">effet cumulé des mauvais traitements et de sa situation de handicap, </w:t>
      </w:r>
      <w:r w:rsidR="004167DE">
        <w:rPr>
          <w:lang w:val="fr-FR"/>
        </w:rPr>
        <w:t>ainsi que</w:t>
      </w:r>
      <w:r w:rsidR="00D811A0">
        <w:rPr>
          <w:lang w:val="fr-FR"/>
        </w:rPr>
        <w:t xml:space="preserve"> de l</w:t>
      </w:r>
      <w:r w:rsidR="005A6B8A">
        <w:rPr>
          <w:lang w:val="fr-FR"/>
        </w:rPr>
        <w:t>’</w:t>
      </w:r>
      <w:r w:rsidR="00D811A0">
        <w:rPr>
          <w:lang w:val="fr-FR"/>
        </w:rPr>
        <w:t>absence totale de justification des mesures de sécurité imposées.</w:t>
      </w:r>
    </w:p>
    <w:p w:rsidR="00CD0A46" w:rsidRDefault="004C3599"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38</w:t>
      </w:r>
      <w:r>
        <w:rPr>
          <w:lang w:val="fr-FR"/>
        </w:rPr>
        <w:fldChar w:fldCharType="end"/>
      </w:r>
      <w:r>
        <w:rPr>
          <w:lang w:val="fr-FR"/>
        </w:rPr>
        <w:t>.  </w:t>
      </w:r>
      <w:r w:rsidR="007B0668">
        <w:rPr>
          <w:lang w:val="fr-FR"/>
        </w:rPr>
        <w:t>Quant à la qualité des soins dispensés, le requérant observe que le Gouvernement reconnaît l</w:t>
      </w:r>
      <w:r w:rsidR="005A6B8A">
        <w:rPr>
          <w:lang w:val="fr-FR"/>
        </w:rPr>
        <w:t>’</w:t>
      </w:r>
      <w:r w:rsidR="007B0668">
        <w:rPr>
          <w:lang w:val="fr-FR"/>
        </w:rPr>
        <w:t>absence de soins</w:t>
      </w:r>
      <w:r w:rsidR="00E72E9C">
        <w:rPr>
          <w:lang w:val="fr-FR"/>
        </w:rPr>
        <w:t xml:space="preserve"> de kinésithérapie</w:t>
      </w:r>
      <w:r w:rsidR="007B0668">
        <w:rPr>
          <w:lang w:val="fr-FR"/>
        </w:rPr>
        <w:t xml:space="preserve"> jusqu</w:t>
      </w:r>
      <w:r w:rsidR="005A6B8A">
        <w:rPr>
          <w:lang w:val="fr-FR"/>
        </w:rPr>
        <w:t>’</w:t>
      </w:r>
      <w:r w:rsidR="007B0668">
        <w:rPr>
          <w:lang w:val="fr-FR"/>
        </w:rPr>
        <w:t>en 2012 et que, à</w:t>
      </w:r>
      <w:r w:rsidR="00094125">
        <w:rPr>
          <w:lang w:val="fr-FR"/>
        </w:rPr>
        <w:t xml:space="preserve"> </w:t>
      </w:r>
      <w:r w:rsidR="007B0668">
        <w:rPr>
          <w:lang w:val="fr-FR"/>
        </w:rPr>
        <w:t>compter de cette date, il ne donne aucune précision sur l</w:t>
      </w:r>
      <w:r w:rsidR="00E72E9C">
        <w:rPr>
          <w:lang w:val="fr-FR"/>
        </w:rPr>
        <w:t>eur fréquence.</w:t>
      </w:r>
      <w:r w:rsidR="00094125">
        <w:rPr>
          <w:lang w:val="fr-FR"/>
        </w:rPr>
        <w:t xml:space="preserve"> Il affirme qu</w:t>
      </w:r>
      <w:r w:rsidR="005A6B8A">
        <w:rPr>
          <w:lang w:val="fr-FR"/>
        </w:rPr>
        <w:t>’</w:t>
      </w:r>
      <w:r w:rsidR="00094125">
        <w:rPr>
          <w:lang w:val="fr-FR"/>
        </w:rPr>
        <w:t xml:space="preserve">ils sont dérisoires </w:t>
      </w:r>
      <w:r w:rsidR="00443828">
        <w:rPr>
          <w:lang w:val="fr-FR"/>
        </w:rPr>
        <w:t>(paragraphe 2</w:t>
      </w:r>
      <w:r w:rsidR="00981F7C">
        <w:rPr>
          <w:lang w:val="fr-FR"/>
        </w:rPr>
        <w:t>1</w:t>
      </w:r>
      <w:r w:rsidR="00443828">
        <w:rPr>
          <w:lang w:val="fr-FR"/>
        </w:rPr>
        <w:t xml:space="preserve"> ci-dessus)</w:t>
      </w:r>
      <w:r w:rsidR="00A57E66">
        <w:rPr>
          <w:lang w:val="fr-FR"/>
        </w:rPr>
        <w:t xml:space="preserve"> alors que les</w:t>
      </w:r>
      <w:r w:rsidR="00094125">
        <w:rPr>
          <w:lang w:val="fr-FR"/>
        </w:rPr>
        <w:t xml:space="preserve"> consé</w:t>
      </w:r>
      <w:r w:rsidR="00C36F9D">
        <w:rPr>
          <w:lang w:val="fr-FR"/>
        </w:rPr>
        <w:t>quenc</w:t>
      </w:r>
      <w:r w:rsidR="00094125">
        <w:rPr>
          <w:lang w:val="fr-FR"/>
        </w:rPr>
        <w:t xml:space="preserve">es </w:t>
      </w:r>
      <w:r w:rsidR="00C36F9D">
        <w:rPr>
          <w:lang w:val="fr-FR"/>
        </w:rPr>
        <w:t>de l</w:t>
      </w:r>
      <w:r w:rsidR="005A6B8A">
        <w:rPr>
          <w:lang w:val="fr-FR"/>
        </w:rPr>
        <w:t>’</w:t>
      </w:r>
      <w:r w:rsidR="00C36F9D">
        <w:rPr>
          <w:lang w:val="fr-FR"/>
        </w:rPr>
        <w:t>absence de soins adaptés à son état de</w:t>
      </w:r>
      <w:r w:rsidR="003355B1">
        <w:rPr>
          <w:lang w:val="fr-FR"/>
        </w:rPr>
        <w:t xml:space="preserve"> santé ont sans cesse été rappelées</w:t>
      </w:r>
      <w:r w:rsidR="00C36F9D">
        <w:rPr>
          <w:lang w:val="fr-FR"/>
        </w:rPr>
        <w:t xml:space="preserve"> par les experts et les médecins. Il ajoute qu</w:t>
      </w:r>
      <w:r w:rsidR="005A6B8A">
        <w:rPr>
          <w:lang w:val="fr-FR"/>
        </w:rPr>
        <w:t>’</w:t>
      </w:r>
      <w:r w:rsidR="00A57E66">
        <w:rPr>
          <w:lang w:val="fr-FR"/>
        </w:rPr>
        <w:t>un</w:t>
      </w:r>
      <w:r w:rsidR="00C36F9D">
        <w:rPr>
          <w:lang w:val="fr-FR"/>
        </w:rPr>
        <w:t xml:space="preserve"> transfert vers le centre pénitentiaire de Roanne</w:t>
      </w:r>
      <w:r w:rsidR="003355B1">
        <w:rPr>
          <w:lang w:val="fr-FR"/>
        </w:rPr>
        <w:t xml:space="preserve"> ne lui garantirait pas une meilleure prise en charge. Il fait valoir que les cellules destinées </w:t>
      </w:r>
      <w:r w:rsidR="00505273">
        <w:rPr>
          <w:lang w:val="fr-FR"/>
        </w:rPr>
        <w:t xml:space="preserve">aux personnes </w:t>
      </w:r>
      <w:r w:rsidR="003355B1">
        <w:rPr>
          <w:lang w:val="fr-FR"/>
        </w:rPr>
        <w:t xml:space="preserve">à mobilité réduite étaient toutes occupées par des détenus </w:t>
      </w:r>
      <w:r w:rsidR="004167DE">
        <w:rPr>
          <w:lang w:val="fr-FR"/>
        </w:rPr>
        <w:t>présentant des handicaps lourds. Il</w:t>
      </w:r>
      <w:r w:rsidR="003355B1">
        <w:rPr>
          <w:lang w:val="fr-FR"/>
        </w:rPr>
        <w:t xml:space="preserve"> indique</w:t>
      </w:r>
      <w:r w:rsidR="004167DE">
        <w:rPr>
          <w:lang w:val="fr-FR"/>
        </w:rPr>
        <w:t xml:space="preserve"> également</w:t>
      </w:r>
      <w:r w:rsidR="003355B1">
        <w:rPr>
          <w:lang w:val="fr-FR"/>
        </w:rPr>
        <w:t xml:space="preserve"> qu</w:t>
      </w:r>
      <w:r w:rsidR="005A6B8A">
        <w:rPr>
          <w:lang w:val="fr-FR"/>
        </w:rPr>
        <w:t>’</w:t>
      </w:r>
      <w:r w:rsidR="003355B1">
        <w:rPr>
          <w:lang w:val="fr-FR"/>
        </w:rPr>
        <w:t>un détenu en fauteuil</w:t>
      </w:r>
      <w:r w:rsidR="00A57E66">
        <w:rPr>
          <w:lang w:val="fr-FR"/>
        </w:rPr>
        <w:t xml:space="preserve"> roulant</w:t>
      </w:r>
      <w:r w:rsidR="003355B1">
        <w:rPr>
          <w:lang w:val="fr-FR"/>
        </w:rPr>
        <w:t xml:space="preserve"> s</w:t>
      </w:r>
      <w:r w:rsidR="005A6B8A">
        <w:rPr>
          <w:lang w:val="fr-FR"/>
        </w:rPr>
        <w:t>’</w:t>
      </w:r>
      <w:r w:rsidR="003355B1">
        <w:rPr>
          <w:lang w:val="fr-FR"/>
        </w:rPr>
        <w:t>est suicidé en novembre 2</w:t>
      </w:r>
      <w:r w:rsidR="00A57E66">
        <w:rPr>
          <w:lang w:val="fr-FR"/>
        </w:rPr>
        <w:t>012 dans cette prison</w:t>
      </w:r>
      <w:r w:rsidR="003355B1">
        <w:rPr>
          <w:lang w:val="fr-FR"/>
        </w:rPr>
        <w:t>, et rappelle en tout état de cause qu</w:t>
      </w:r>
      <w:r w:rsidR="00A57E66">
        <w:rPr>
          <w:lang w:val="fr-FR"/>
        </w:rPr>
        <w:t xml:space="preserve">e les médecins ont préconisé </w:t>
      </w:r>
      <w:r w:rsidR="003355B1">
        <w:rPr>
          <w:lang w:val="fr-FR"/>
        </w:rPr>
        <w:t>un service spécialisé</w:t>
      </w:r>
      <w:r w:rsidR="00CD0A46">
        <w:rPr>
          <w:lang w:val="fr-FR"/>
        </w:rPr>
        <w:t xml:space="preserve"> pour sa rééducation.</w:t>
      </w:r>
    </w:p>
    <w:p w:rsidR="00067570" w:rsidRDefault="00570E8D"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39</w:t>
      </w:r>
      <w:r>
        <w:rPr>
          <w:lang w:val="fr-FR"/>
        </w:rPr>
        <w:fldChar w:fldCharType="end"/>
      </w:r>
      <w:r>
        <w:rPr>
          <w:lang w:val="fr-FR"/>
        </w:rPr>
        <w:t>.  </w:t>
      </w:r>
      <w:r w:rsidR="00427A69">
        <w:rPr>
          <w:lang w:val="fr-FR"/>
        </w:rPr>
        <w:t>Quant à l</w:t>
      </w:r>
      <w:r w:rsidR="005A6B8A">
        <w:rPr>
          <w:lang w:val="fr-FR"/>
        </w:rPr>
        <w:t>’</w:t>
      </w:r>
      <w:r w:rsidR="00427A69">
        <w:rPr>
          <w:lang w:val="fr-FR"/>
        </w:rPr>
        <w:t>opportunité de son maintien en détention, le requérant dénonce une lecture restrictive de l</w:t>
      </w:r>
      <w:r w:rsidR="005A6B8A">
        <w:rPr>
          <w:lang w:val="fr-FR"/>
        </w:rPr>
        <w:t>’</w:t>
      </w:r>
      <w:r w:rsidR="00427A69">
        <w:rPr>
          <w:lang w:val="fr-FR"/>
        </w:rPr>
        <w:t>article 720-1-1 du CPP</w:t>
      </w:r>
      <w:r w:rsidR="003355B1">
        <w:rPr>
          <w:lang w:val="fr-FR"/>
        </w:rPr>
        <w:t xml:space="preserve"> </w:t>
      </w:r>
      <w:r w:rsidR="00427A69">
        <w:rPr>
          <w:lang w:val="fr-FR"/>
        </w:rPr>
        <w:t>qui assimile conditions de détention conforme</w:t>
      </w:r>
      <w:r w:rsidR="007E20BE">
        <w:rPr>
          <w:lang w:val="fr-FR"/>
        </w:rPr>
        <w:t>s</w:t>
      </w:r>
      <w:r w:rsidR="00427A69">
        <w:rPr>
          <w:lang w:val="fr-FR"/>
        </w:rPr>
        <w:t xml:space="preserve"> à la dignité humaine et niveau de soins suffisant. Il souligne également que la cour d</w:t>
      </w:r>
      <w:r w:rsidR="005A6B8A">
        <w:rPr>
          <w:lang w:val="fr-FR"/>
        </w:rPr>
        <w:t>’</w:t>
      </w:r>
      <w:r w:rsidR="00427A69">
        <w:rPr>
          <w:lang w:val="fr-FR"/>
        </w:rPr>
        <w:t>appel s</w:t>
      </w:r>
      <w:r w:rsidR="005A6B8A">
        <w:rPr>
          <w:lang w:val="fr-FR"/>
        </w:rPr>
        <w:t>’</w:t>
      </w:r>
      <w:r w:rsidR="00427A69">
        <w:rPr>
          <w:lang w:val="fr-FR"/>
        </w:rPr>
        <w:t>es</w:t>
      </w:r>
      <w:r w:rsidR="00B03B1F">
        <w:rPr>
          <w:lang w:val="fr-FR"/>
        </w:rPr>
        <w:t>t</w:t>
      </w:r>
      <w:r w:rsidR="00427A69">
        <w:rPr>
          <w:lang w:val="fr-FR"/>
        </w:rPr>
        <w:t xml:space="preserve"> fondée sur une circonstance non prévue par le texte pour refuser la demande de suspension, à savoir la non reconnaissance des faits. </w:t>
      </w:r>
      <w:r w:rsidR="00B03B1F">
        <w:rPr>
          <w:lang w:val="fr-FR"/>
        </w:rPr>
        <w:t>Se référant à l</w:t>
      </w:r>
      <w:r w:rsidR="005A6B8A">
        <w:rPr>
          <w:lang w:val="fr-FR"/>
        </w:rPr>
        <w:t>’</w:t>
      </w:r>
      <w:r w:rsidR="00B03B1F">
        <w:rPr>
          <w:lang w:val="fr-FR"/>
        </w:rPr>
        <w:t xml:space="preserve">arrêt </w:t>
      </w:r>
      <w:r w:rsidR="003F2565">
        <w:rPr>
          <w:i/>
          <w:szCs w:val="24"/>
          <w:lang w:val="fr-FR"/>
        </w:rPr>
        <w:t>Gülay Çetin c. </w:t>
      </w:r>
      <w:r w:rsidR="00B03B1F" w:rsidRPr="00683D06">
        <w:rPr>
          <w:i/>
          <w:szCs w:val="24"/>
          <w:lang w:val="fr-FR"/>
        </w:rPr>
        <w:t>Turquie</w:t>
      </w:r>
      <w:r w:rsidR="00B03B1F" w:rsidRPr="00683D06">
        <w:rPr>
          <w:szCs w:val="24"/>
          <w:lang w:val="fr-FR"/>
        </w:rPr>
        <w:t xml:space="preserve"> </w:t>
      </w:r>
      <w:r w:rsidR="00B03B1F">
        <w:rPr>
          <w:szCs w:val="24"/>
          <w:lang w:val="fr-FR"/>
        </w:rPr>
        <w:t>(</w:t>
      </w:r>
      <w:r w:rsidR="00B03B1F" w:rsidRPr="00683D06">
        <w:rPr>
          <w:szCs w:val="24"/>
          <w:lang w:val="fr-FR"/>
        </w:rPr>
        <w:t>n</w:t>
      </w:r>
      <w:r w:rsidR="00B03B1F" w:rsidRPr="00683D06">
        <w:rPr>
          <w:szCs w:val="24"/>
          <w:vertAlign w:val="superscript"/>
          <w:lang w:val="fr-FR"/>
        </w:rPr>
        <w:t>o</w:t>
      </w:r>
      <w:r w:rsidR="00B03B1F" w:rsidRPr="00683D06">
        <w:rPr>
          <w:szCs w:val="24"/>
          <w:lang w:val="fr-FR"/>
        </w:rPr>
        <w:t xml:space="preserve"> 44084/10</w:t>
      </w:r>
      <w:r w:rsidR="00CC226F">
        <w:rPr>
          <w:snapToGrid w:val="0"/>
          <w:szCs w:val="24"/>
          <w:lang w:val="fr-FR"/>
        </w:rPr>
        <w:t xml:space="preserve">, </w:t>
      </w:r>
      <w:r w:rsidR="00B03B1F" w:rsidRPr="00683D06">
        <w:rPr>
          <w:snapToGrid w:val="0"/>
          <w:szCs w:val="24"/>
          <w:lang w:val="fr-FR"/>
        </w:rPr>
        <w:t xml:space="preserve">5 </w:t>
      </w:r>
      <w:r w:rsidR="00B03B1F" w:rsidRPr="00683D06">
        <w:rPr>
          <w:szCs w:val="24"/>
          <w:lang w:val="fr-FR"/>
        </w:rPr>
        <w:t>mars</w:t>
      </w:r>
      <w:r w:rsidR="00B03B1F" w:rsidRPr="00683D06">
        <w:rPr>
          <w:snapToGrid w:val="0"/>
          <w:szCs w:val="24"/>
          <w:lang w:val="fr-FR"/>
        </w:rPr>
        <w:t xml:space="preserve"> 2013</w:t>
      </w:r>
      <w:r w:rsidR="00B03B1F">
        <w:rPr>
          <w:snapToGrid w:val="0"/>
          <w:szCs w:val="24"/>
          <w:lang w:val="fr-FR"/>
        </w:rPr>
        <w:t>), i</w:t>
      </w:r>
      <w:r w:rsidR="00EC16C9">
        <w:rPr>
          <w:lang w:val="fr-FR"/>
        </w:rPr>
        <w:t>l insiste sur l</w:t>
      </w:r>
      <w:r w:rsidR="005A6B8A">
        <w:rPr>
          <w:lang w:val="fr-FR"/>
        </w:rPr>
        <w:t>’</w:t>
      </w:r>
      <w:r w:rsidR="00EC16C9">
        <w:rPr>
          <w:lang w:val="fr-FR"/>
        </w:rPr>
        <w:t>absence de norme claire en droit interne qui impose de prendre en compte l</w:t>
      </w:r>
      <w:r w:rsidR="005A6B8A">
        <w:rPr>
          <w:lang w:val="fr-FR"/>
        </w:rPr>
        <w:t>’</w:t>
      </w:r>
      <w:r w:rsidR="00EC16C9">
        <w:rPr>
          <w:lang w:val="fr-FR"/>
        </w:rPr>
        <w:t>aptitude personnelle à subir la détention indépendamment de la qualité des soins requis, et qui permet que des situations contraires à la dign</w:t>
      </w:r>
      <w:r w:rsidR="00B03B1F">
        <w:rPr>
          <w:lang w:val="fr-FR"/>
        </w:rPr>
        <w:t xml:space="preserve">ité humaine perdurent sans fin. </w:t>
      </w:r>
      <w:r w:rsidR="00EC16C9">
        <w:rPr>
          <w:lang w:val="fr-FR"/>
        </w:rPr>
        <w:t>L</w:t>
      </w:r>
      <w:r w:rsidR="005A6B8A">
        <w:rPr>
          <w:lang w:val="fr-FR"/>
        </w:rPr>
        <w:t>’</w:t>
      </w:r>
      <w:r w:rsidR="00EC16C9">
        <w:rPr>
          <w:lang w:val="fr-FR"/>
        </w:rPr>
        <w:t>intensité de l</w:t>
      </w:r>
      <w:r w:rsidR="005A6B8A">
        <w:rPr>
          <w:lang w:val="fr-FR"/>
        </w:rPr>
        <w:t>’</w:t>
      </w:r>
      <w:r w:rsidR="00EC16C9">
        <w:rPr>
          <w:lang w:val="fr-FR"/>
        </w:rPr>
        <w:t>épreuve infligée à une personne handicapée conduit à annihiler les finalités de la peine pour en fa</w:t>
      </w:r>
      <w:r w:rsidR="001977B9">
        <w:rPr>
          <w:lang w:val="fr-FR"/>
        </w:rPr>
        <w:t>ire une pure rétribution, un châ</w:t>
      </w:r>
      <w:r w:rsidR="00EC16C9">
        <w:rPr>
          <w:lang w:val="fr-FR"/>
        </w:rPr>
        <w:t xml:space="preserve">timent aveugle. </w:t>
      </w:r>
      <w:r w:rsidR="00CD0A46">
        <w:rPr>
          <w:lang w:val="fr-FR"/>
        </w:rPr>
        <w:t>Il souligne que l</w:t>
      </w:r>
      <w:r w:rsidR="00EC16C9">
        <w:rPr>
          <w:lang w:val="fr-FR"/>
        </w:rPr>
        <w:t xml:space="preserve">es UCSA ne sont nullement chargées de soustraire leurs patients </w:t>
      </w:r>
      <w:r w:rsidR="001977B9">
        <w:rPr>
          <w:lang w:val="fr-FR"/>
        </w:rPr>
        <w:t xml:space="preserve">à la réalité de leur existence mais </w:t>
      </w:r>
      <w:r w:rsidR="00CD0A46">
        <w:rPr>
          <w:lang w:val="fr-FR"/>
        </w:rPr>
        <w:t>qu</w:t>
      </w:r>
      <w:r w:rsidR="005A6B8A">
        <w:rPr>
          <w:lang w:val="fr-FR"/>
        </w:rPr>
        <w:t>’</w:t>
      </w:r>
      <w:r w:rsidR="00CD0A46">
        <w:rPr>
          <w:lang w:val="fr-FR"/>
        </w:rPr>
        <w:t xml:space="preserve">elles </w:t>
      </w:r>
      <w:r w:rsidR="001977B9">
        <w:rPr>
          <w:lang w:val="fr-FR"/>
        </w:rPr>
        <w:t>assurent les missions de diagnostic et de soins.</w:t>
      </w:r>
    </w:p>
    <w:p w:rsidR="00067570" w:rsidRDefault="009E2ED8" w:rsidP="00141031">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40</w:t>
      </w:r>
      <w:r>
        <w:rPr>
          <w:lang w:val="fr-FR"/>
        </w:rPr>
        <w:fldChar w:fldCharType="end"/>
      </w:r>
      <w:r>
        <w:rPr>
          <w:lang w:val="fr-FR"/>
        </w:rPr>
        <w:t>.  </w:t>
      </w:r>
      <w:r w:rsidR="0090671A">
        <w:rPr>
          <w:lang w:val="fr-FR"/>
        </w:rPr>
        <w:t>Le Gouvernement justifie le</w:t>
      </w:r>
      <w:r w:rsidR="00861298">
        <w:rPr>
          <w:lang w:val="fr-FR"/>
        </w:rPr>
        <w:t xml:space="preserve"> maintien en détention du requérant</w:t>
      </w:r>
      <w:r w:rsidR="000F07A7">
        <w:rPr>
          <w:lang w:val="fr-FR"/>
        </w:rPr>
        <w:t xml:space="preserve">, </w:t>
      </w:r>
      <w:r w:rsidR="00141031">
        <w:rPr>
          <w:lang w:val="fr-FR"/>
        </w:rPr>
        <w:t xml:space="preserve">à la lumière notamment des arrêts </w:t>
      </w:r>
      <w:r w:rsidR="00141031" w:rsidRPr="009C1AEE">
        <w:rPr>
          <w:i/>
          <w:lang w:val="fr-FR"/>
        </w:rPr>
        <w:t>Matencio c. France</w:t>
      </w:r>
      <w:r w:rsidR="00141031" w:rsidRPr="009C1AEE">
        <w:rPr>
          <w:lang w:val="fr-FR"/>
        </w:rPr>
        <w:t xml:space="preserve"> </w:t>
      </w:r>
      <w:r w:rsidR="00141031">
        <w:rPr>
          <w:lang w:val="fr-FR"/>
        </w:rPr>
        <w:t>(</w:t>
      </w:r>
      <w:r w:rsidR="00141031" w:rsidRPr="009C1AEE">
        <w:rPr>
          <w:lang w:val="fr-FR"/>
        </w:rPr>
        <w:t>n</w:t>
      </w:r>
      <w:r w:rsidR="00141031" w:rsidRPr="009C1AEE">
        <w:rPr>
          <w:vertAlign w:val="superscript"/>
          <w:lang w:val="fr-FR"/>
        </w:rPr>
        <w:t>o</w:t>
      </w:r>
      <w:r w:rsidR="00141031" w:rsidRPr="009C1AEE">
        <w:rPr>
          <w:lang w:val="fr-FR"/>
        </w:rPr>
        <w:t xml:space="preserve"> 58749/00, </w:t>
      </w:r>
      <w:r w:rsidR="00141031">
        <w:rPr>
          <w:lang w:val="fr-FR"/>
        </w:rPr>
        <w:t>1</w:t>
      </w:r>
      <w:r w:rsidR="00141031" w:rsidRPr="009C1AEE">
        <w:rPr>
          <w:lang w:val="fr-FR"/>
        </w:rPr>
        <w:t>5 janvier 2004</w:t>
      </w:r>
      <w:r w:rsidR="00141031">
        <w:rPr>
          <w:lang w:val="fr-FR"/>
        </w:rPr>
        <w:t xml:space="preserve">) et </w:t>
      </w:r>
      <w:r w:rsidR="00141031" w:rsidRPr="009C1AEE">
        <w:rPr>
          <w:i/>
          <w:lang w:val="fr-FR"/>
        </w:rPr>
        <w:t>Vincent</w:t>
      </w:r>
      <w:r w:rsidR="00141031">
        <w:rPr>
          <w:lang w:val="fr-FR"/>
        </w:rPr>
        <w:t xml:space="preserve"> (précité), </w:t>
      </w:r>
      <w:r w:rsidR="000F07A7">
        <w:rPr>
          <w:lang w:val="fr-FR"/>
        </w:rPr>
        <w:t>dès lors qu</w:t>
      </w:r>
      <w:r w:rsidR="005A6B8A">
        <w:rPr>
          <w:lang w:val="fr-FR"/>
        </w:rPr>
        <w:t>’</w:t>
      </w:r>
      <w:r w:rsidR="000F07A7">
        <w:rPr>
          <w:lang w:val="fr-FR"/>
        </w:rPr>
        <w:t>il n</w:t>
      </w:r>
      <w:r w:rsidR="005A6B8A">
        <w:rPr>
          <w:lang w:val="fr-FR"/>
        </w:rPr>
        <w:t>’</w:t>
      </w:r>
      <w:r w:rsidR="000F07A7">
        <w:rPr>
          <w:lang w:val="fr-FR"/>
        </w:rPr>
        <w:t>est pas établi qu</w:t>
      </w:r>
      <w:r w:rsidR="005A6B8A">
        <w:rPr>
          <w:lang w:val="fr-FR"/>
        </w:rPr>
        <w:t>’</w:t>
      </w:r>
      <w:r w:rsidR="000F07A7">
        <w:rPr>
          <w:lang w:val="fr-FR"/>
        </w:rPr>
        <w:t>il souffre d</w:t>
      </w:r>
      <w:r w:rsidR="005A6B8A">
        <w:rPr>
          <w:lang w:val="fr-FR"/>
        </w:rPr>
        <w:t>’</w:t>
      </w:r>
      <w:r w:rsidR="000F07A7">
        <w:rPr>
          <w:lang w:val="fr-FR"/>
        </w:rPr>
        <w:t>un</w:t>
      </w:r>
      <w:r w:rsidR="00D47A9F">
        <w:rPr>
          <w:lang w:val="fr-FR"/>
        </w:rPr>
        <w:t>e absence d</w:t>
      </w:r>
      <w:r w:rsidR="005A6B8A">
        <w:rPr>
          <w:lang w:val="fr-FR"/>
        </w:rPr>
        <w:t>’</w:t>
      </w:r>
      <w:r w:rsidR="00D47A9F">
        <w:rPr>
          <w:lang w:val="fr-FR"/>
        </w:rPr>
        <w:t>autonomie. Il</w:t>
      </w:r>
      <w:r w:rsidR="000F07A7">
        <w:rPr>
          <w:lang w:val="fr-FR"/>
        </w:rPr>
        <w:t xml:space="preserve"> rappelle à cet égard les deux expertises médicales </w:t>
      </w:r>
      <w:r w:rsidR="00266449">
        <w:rPr>
          <w:lang w:val="fr-FR"/>
        </w:rPr>
        <w:t xml:space="preserve">qui ont </w:t>
      </w:r>
      <w:r w:rsidR="000F07A7">
        <w:rPr>
          <w:lang w:val="fr-FR"/>
        </w:rPr>
        <w:t>conclu à la compatibilité de l</w:t>
      </w:r>
      <w:r w:rsidR="005A6B8A">
        <w:rPr>
          <w:lang w:val="fr-FR"/>
        </w:rPr>
        <w:t>’</w:t>
      </w:r>
      <w:r w:rsidR="000F07A7">
        <w:rPr>
          <w:lang w:val="fr-FR"/>
        </w:rPr>
        <w:t>état de santé du requérant avec la détention</w:t>
      </w:r>
      <w:r w:rsidR="00266449">
        <w:rPr>
          <w:lang w:val="fr-FR"/>
        </w:rPr>
        <w:t>,</w:t>
      </w:r>
      <w:r w:rsidR="000F07A7">
        <w:rPr>
          <w:lang w:val="fr-FR"/>
        </w:rPr>
        <w:t xml:space="preserve"> sous réserve de conditions adaptées à celui-ci.</w:t>
      </w:r>
    </w:p>
    <w:p w:rsidR="00067570" w:rsidRDefault="00141031" w:rsidP="00E856E2">
      <w:pPr>
        <w:pStyle w:val="ECHRPara"/>
        <w:rPr>
          <w:lang w:val="fr-FR"/>
        </w:rPr>
      </w:pPr>
      <w:r>
        <w:rPr>
          <w:rFonts w:cstheme="minorHAnsi"/>
          <w:lang w:val="fr-FR"/>
        </w:rPr>
        <w:fldChar w:fldCharType="begin"/>
      </w:r>
      <w:r>
        <w:rPr>
          <w:rFonts w:cstheme="minorHAnsi"/>
          <w:lang w:val="fr-FR"/>
        </w:rPr>
        <w:instrText xml:space="preserve"> SEQ level0 \*arabic </w:instrText>
      </w:r>
      <w:r>
        <w:rPr>
          <w:rFonts w:cstheme="minorHAnsi"/>
          <w:lang w:val="fr-FR"/>
        </w:rPr>
        <w:fldChar w:fldCharType="separate"/>
      </w:r>
      <w:r w:rsidR="00746EA9">
        <w:rPr>
          <w:rFonts w:cstheme="minorHAnsi"/>
          <w:noProof/>
          <w:lang w:val="fr-FR"/>
        </w:rPr>
        <w:t>41</w:t>
      </w:r>
      <w:r>
        <w:rPr>
          <w:rFonts w:cstheme="minorHAnsi"/>
          <w:lang w:val="fr-FR"/>
        </w:rPr>
        <w:fldChar w:fldCharType="end"/>
      </w:r>
      <w:r>
        <w:rPr>
          <w:rFonts w:cstheme="minorHAnsi"/>
          <w:lang w:val="fr-FR"/>
        </w:rPr>
        <w:t>.  S</w:t>
      </w:r>
      <w:r w:rsidR="005A6B8A">
        <w:rPr>
          <w:rFonts w:cstheme="minorHAnsi"/>
          <w:lang w:val="fr-FR"/>
        </w:rPr>
        <w:t>’</w:t>
      </w:r>
      <w:r>
        <w:rPr>
          <w:rFonts w:cstheme="minorHAnsi"/>
          <w:lang w:val="fr-FR"/>
        </w:rPr>
        <w:t xml:space="preserve">agissant de ces </w:t>
      </w:r>
      <w:r w:rsidR="0090671A">
        <w:rPr>
          <w:rFonts w:cstheme="minorHAnsi"/>
          <w:lang w:val="fr-FR"/>
        </w:rPr>
        <w:t>conditions</w:t>
      </w:r>
      <w:r w:rsidR="007B5FD5">
        <w:rPr>
          <w:rFonts w:cstheme="minorHAnsi"/>
          <w:lang w:val="fr-FR"/>
        </w:rPr>
        <w:t xml:space="preserve">, </w:t>
      </w:r>
      <w:r w:rsidR="00B03B1F">
        <w:rPr>
          <w:lang w:val="fr-FR"/>
        </w:rPr>
        <w:t>il fait observer que le requérant se trouve</w:t>
      </w:r>
      <w:r w:rsidR="000F07A7">
        <w:rPr>
          <w:lang w:val="fr-FR"/>
        </w:rPr>
        <w:t xml:space="preserve"> dans une cellule aménagée </w:t>
      </w:r>
      <w:r w:rsidR="00B03B1F">
        <w:rPr>
          <w:lang w:val="fr-FR"/>
        </w:rPr>
        <w:t xml:space="preserve">pour les personnes à mobilité </w:t>
      </w:r>
      <w:r w:rsidR="000F07A7">
        <w:rPr>
          <w:lang w:val="fr-FR"/>
        </w:rPr>
        <w:t>réduite</w:t>
      </w:r>
      <w:r w:rsidR="00B03B1F">
        <w:rPr>
          <w:lang w:val="fr-FR"/>
        </w:rPr>
        <w:t xml:space="preserve"> dans laquelle il est possible de se</w:t>
      </w:r>
      <w:r w:rsidR="000F07A7">
        <w:rPr>
          <w:lang w:val="fr-FR"/>
        </w:rPr>
        <w:t xml:space="preserve"> déplace</w:t>
      </w:r>
      <w:r w:rsidR="00B03B1F">
        <w:rPr>
          <w:lang w:val="fr-FR"/>
        </w:rPr>
        <w:t>r</w:t>
      </w:r>
      <w:r w:rsidR="000F07A7">
        <w:rPr>
          <w:lang w:val="fr-FR"/>
        </w:rPr>
        <w:t xml:space="preserve"> en fauteuil</w:t>
      </w:r>
      <w:r w:rsidR="00266449">
        <w:rPr>
          <w:lang w:val="fr-FR"/>
        </w:rPr>
        <w:t xml:space="preserve">. Elle se </w:t>
      </w:r>
      <w:r w:rsidR="000F07A7">
        <w:rPr>
          <w:lang w:val="fr-FR"/>
        </w:rPr>
        <w:t>situ</w:t>
      </w:r>
      <w:r w:rsidR="00266449">
        <w:rPr>
          <w:lang w:val="fr-FR"/>
        </w:rPr>
        <w:t>e</w:t>
      </w:r>
      <w:r w:rsidR="000F07A7">
        <w:rPr>
          <w:lang w:val="fr-FR"/>
        </w:rPr>
        <w:t xml:space="preserve"> en rez-de-cour </w:t>
      </w:r>
      <w:r w:rsidR="00DC0EFF">
        <w:rPr>
          <w:lang w:val="fr-FR"/>
        </w:rPr>
        <w:t>afin de permettre l</w:t>
      </w:r>
      <w:r w:rsidR="005A6B8A">
        <w:rPr>
          <w:lang w:val="fr-FR"/>
        </w:rPr>
        <w:t>’</w:t>
      </w:r>
      <w:r w:rsidR="00DC0EFF">
        <w:rPr>
          <w:lang w:val="fr-FR"/>
        </w:rPr>
        <w:t xml:space="preserve">accès aux promenades </w:t>
      </w:r>
      <w:r w:rsidR="005A0872">
        <w:rPr>
          <w:lang w:val="fr-FR"/>
        </w:rPr>
        <w:t xml:space="preserve">et au secteur socioéducatif. </w:t>
      </w:r>
      <w:r w:rsidR="00D47A9F">
        <w:rPr>
          <w:lang w:val="fr-FR"/>
        </w:rPr>
        <w:t>De même, l</w:t>
      </w:r>
      <w:r w:rsidR="005A6B8A">
        <w:rPr>
          <w:lang w:val="fr-FR"/>
        </w:rPr>
        <w:t>’</w:t>
      </w:r>
      <w:r w:rsidR="005A0872">
        <w:rPr>
          <w:lang w:val="fr-FR"/>
        </w:rPr>
        <w:t>accès à l</w:t>
      </w:r>
      <w:r w:rsidR="005A6B8A">
        <w:rPr>
          <w:lang w:val="fr-FR"/>
        </w:rPr>
        <w:t>’</w:t>
      </w:r>
      <w:r>
        <w:rPr>
          <w:lang w:val="fr-FR"/>
        </w:rPr>
        <w:t>UCSA</w:t>
      </w:r>
      <w:r w:rsidR="005A0872">
        <w:rPr>
          <w:lang w:val="fr-FR"/>
        </w:rPr>
        <w:t>, aux cantines, aux parloi</w:t>
      </w:r>
      <w:r w:rsidR="00D47A9F">
        <w:rPr>
          <w:lang w:val="fr-FR"/>
        </w:rPr>
        <w:t>rs et au greffe se fait sans qu</w:t>
      </w:r>
      <w:r w:rsidR="005A6B8A">
        <w:rPr>
          <w:lang w:val="fr-FR"/>
        </w:rPr>
        <w:t>’</w:t>
      </w:r>
      <w:r w:rsidR="00D47A9F">
        <w:rPr>
          <w:lang w:val="fr-FR"/>
        </w:rPr>
        <w:t>il</w:t>
      </w:r>
      <w:r w:rsidR="005A0872">
        <w:rPr>
          <w:lang w:val="fr-FR"/>
        </w:rPr>
        <w:t xml:space="preserve"> doive emprunter un escalier.</w:t>
      </w:r>
    </w:p>
    <w:p w:rsidR="00067570" w:rsidRDefault="00097DF0" w:rsidP="00E856E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42</w:t>
      </w:r>
      <w:r>
        <w:rPr>
          <w:lang w:val="fr-FR"/>
        </w:rPr>
        <w:fldChar w:fldCharType="end"/>
      </w:r>
      <w:r>
        <w:rPr>
          <w:lang w:val="fr-FR"/>
        </w:rPr>
        <w:t>.  </w:t>
      </w:r>
      <w:r w:rsidR="007B5FD5">
        <w:rPr>
          <w:lang w:val="fr-FR"/>
        </w:rPr>
        <w:t>Le Gouvernement indique que le requérant est assisté quotidiennement par un détenu auxiliaire.</w:t>
      </w:r>
      <w:r w:rsidR="00973656">
        <w:rPr>
          <w:lang w:val="fr-FR"/>
        </w:rPr>
        <w:t xml:space="preserve"> </w:t>
      </w:r>
      <w:r w:rsidR="007B5FD5">
        <w:rPr>
          <w:lang w:val="fr-FR"/>
        </w:rPr>
        <w:t xml:space="preserve">Il </w:t>
      </w:r>
      <w:r w:rsidR="00973656">
        <w:rPr>
          <w:lang w:val="fr-FR"/>
        </w:rPr>
        <w:t>précise</w:t>
      </w:r>
      <w:r w:rsidR="007B5FD5">
        <w:rPr>
          <w:lang w:val="fr-FR"/>
        </w:rPr>
        <w:t xml:space="preserve"> dans ses observations complémentaires</w:t>
      </w:r>
      <w:r w:rsidR="00973656">
        <w:rPr>
          <w:lang w:val="fr-FR"/>
        </w:rPr>
        <w:t xml:space="preserve"> que la prison n</w:t>
      </w:r>
      <w:r w:rsidR="005A6B8A">
        <w:rPr>
          <w:lang w:val="fr-FR"/>
        </w:rPr>
        <w:t>’</w:t>
      </w:r>
      <w:r w:rsidR="00973656">
        <w:rPr>
          <w:lang w:val="fr-FR"/>
        </w:rPr>
        <w:t xml:space="preserve">est pas équipée de douches individuelles, mais </w:t>
      </w:r>
      <w:r w:rsidR="00266449">
        <w:rPr>
          <w:lang w:val="fr-FR"/>
        </w:rPr>
        <w:t xml:space="preserve">que </w:t>
      </w:r>
      <w:r w:rsidR="007B5FD5">
        <w:rPr>
          <w:lang w:val="fr-FR"/>
        </w:rPr>
        <w:t>celles-ci sont d</w:t>
      </w:r>
      <w:r w:rsidR="005A6B8A">
        <w:rPr>
          <w:lang w:val="fr-FR"/>
        </w:rPr>
        <w:t>’</w:t>
      </w:r>
      <w:r w:rsidR="007B5FD5">
        <w:rPr>
          <w:lang w:val="fr-FR"/>
        </w:rPr>
        <w:t>accès libre. Sans indiquer où se situent les douches ni la fréquence avec laquelle le requérant peut s</w:t>
      </w:r>
      <w:r w:rsidR="005A6B8A">
        <w:rPr>
          <w:lang w:val="fr-FR"/>
        </w:rPr>
        <w:t>’</w:t>
      </w:r>
      <w:r w:rsidR="007B5FD5">
        <w:rPr>
          <w:lang w:val="fr-FR"/>
        </w:rPr>
        <w:t xml:space="preserve">y rendre, il fait valoir que le requérant a </w:t>
      </w:r>
      <w:r w:rsidR="00973656">
        <w:rPr>
          <w:lang w:val="fr-FR"/>
        </w:rPr>
        <w:t>la possibilité de choisir son horaire, le nombre maximal de personnes étant de treize sur l</w:t>
      </w:r>
      <w:r w:rsidR="005A6B8A">
        <w:rPr>
          <w:lang w:val="fr-FR"/>
        </w:rPr>
        <w:t>’</w:t>
      </w:r>
      <w:r w:rsidR="00973656">
        <w:rPr>
          <w:lang w:val="fr-FR"/>
        </w:rPr>
        <w:t>ensemble de la journée ; en outre, chaque douche dispose d</w:t>
      </w:r>
      <w:r w:rsidR="005A6B8A">
        <w:rPr>
          <w:lang w:val="fr-FR"/>
        </w:rPr>
        <w:t>’</w:t>
      </w:r>
      <w:r w:rsidR="00973656">
        <w:rPr>
          <w:lang w:val="fr-FR"/>
        </w:rPr>
        <w:t>un box séparé d</w:t>
      </w:r>
      <w:r w:rsidR="007B5FD5">
        <w:rPr>
          <w:lang w:val="fr-FR"/>
        </w:rPr>
        <w:t>e nature à garantir l</w:t>
      </w:r>
      <w:r w:rsidR="005A6B8A">
        <w:rPr>
          <w:lang w:val="fr-FR"/>
        </w:rPr>
        <w:t>’</w:t>
      </w:r>
      <w:r w:rsidR="007B5FD5">
        <w:rPr>
          <w:lang w:val="fr-FR"/>
        </w:rPr>
        <w:t>intimité.</w:t>
      </w:r>
    </w:p>
    <w:p w:rsidR="00067570" w:rsidRDefault="00097DF0" w:rsidP="00E856E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43</w:t>
      </w:r>
      <w:r>
        <w:rPr>
          <w:lang w:val="fr-FR"/>
        </w:rPr>
        <w:fldChar w:fldCharType="end"/>
      </w:r>
      <w:r>
        <w:rPr>
          <w:lang w:val="fr-FR"/>
        </w:rPr>
        <w:t>.  </w:t>
      </w:r>
      <w:r w:rsidR="007A153C">
        <w:rPr>
          <w:lang w:val="fr-FR"/>
        </w:rPr>
        <w:t>Le Gouvernement souligne encore l</w:t>
      </w:r>
      <w:r w:rsidR="005A6B8A">
        <w:rPr>
          <w:lang w:val="fr-FR"/>
        </w:rPr>
        <w:t>’</w:t>
      </w:r>
      <w:r w:rsidR="007A153C">
        <w:rPr>
          <w:lang w:val="fr-FR"/>
        </w:rPr>
        <w:t>attention portée au bien-être du requérant en lui donnant accès à une activité physique,</w:t>
      </w:r>
      <w:r w:rsidR="00EE1E35">
        <w:rPr>
          <w:lang w:val="fr-FR"/>
        </w:rPr>
        <w:t xml:space="preserve"> </w:t>
      </w:r>
      <w:r w:rsidR="0090671A">
        <w:rPr>
          <w:lang w:val="fr-FR"/>
        </w:rPr>
        <w:t xml:space="preserve">à savoir </w:t>
      </w:r>
      <w:r w:rsidR="00EE1E35">
        <w:rPr>
          <w:lang w:val="fr-FR"/>
        </w:rPr>
        <w:t>des co</w:t>
      </w:r>
      <w:r w:rsidR="007A153C">
        <w:rPr>
          <w:lang w:val="fr-FR"/>
        </w:rPr>
        <w:t>urs de yoga. Il reconnaît</w:t>
      </w:r>
      <w:r w:rsidR="001F5464">
        <w:rPr>
          <w:lang w:val="fr-FR"/>
        </w:rPr>
        <w:t xml:space="preserve"> que la zone sportive est inaccessible en fauteuil roulant mais sou</w:t>
      </w:r>
      <w:r w:rsidR="007A153C">
        <w:rPr>
          <w:lang w:val="fr-FR"/>
        </w:rPr>
        <w:t>tient que le requérant</w:t>
      </w:r>
      <w:r w:rsidR="001F5464">
        <w:rPr>
          <w:lang w:val="fr-FR"/>
        </w:rPr>
        <w:t xml:space="preserve"> peut s</w:t>
      </w:r>
      <w:r w:rsidR="005A6B8A">
        <w:rPr>
          <w:lang w:val="fr-FR"/>
        </w:rPr>
        <w:t>’</w:t>
      </w:r>
      <w:r w:rsidR="001F5464">
        <w:rPr>
          <w:lang w:val="fr-FR"/>
        </w:rPr>
        <w:t>y rendre au moyen de ses béquilles ou de son</w:t>
      </w:r>
      <w:r w:rsidR="00065C2B">
        <w:rPr>
          <w:lang w:val="fr-FR"/>
        </w:rPr>
        <w:t xml:space="preserve"> déambulateur et précise</w:t>
      </w:r>
      <w:r w:rsidR="007A153C">
        <w:rPr>
          <w:lang w:val="fr-FR"/>
        </w:rPr>
        <w:t xml:space="preserve"> en tout état de cause</w:t>
      </w:r>
      <w:r w:rsidR="00065C2B">
        <w:rPr>
          <w:lang w:val="fr-FR"/>
        </w:rPr>
        <w:t xml:space="preserve"> que </w:t>
      </w:r>
      <w:r w:rsidR="007A153C">
        <w:rPr>
          <w:lang w:val="fr-FR"/>
        </w:rPr>
        <w:t>le requérant ne s</w:t>
      </w:r>
      <w:r w:rsidR="005A6B8A">
        <w:rPr>
          <w:lang w:val="fr-FR"/>
        </w:rPr>
        <w:t>’</w:t>
      </w:r>
      <w:r w:rsidR="007A153C">
        <w:rPr>
          <w:lang w:val="fr-FR"/>
        </w:rPr>
        <w:t>y est jamais rendu</w:t>
      </w:r>
      <w:r w:rsidR="00065C2B">
        <w:rPr>
          <w:lang w:val="fr-FR"/>
        </w:rPr>
        <w:t>.</w:t>
      </w:r>
    </w:p>
    <w:p w:rsidR="00067570" w:rsidRDefault="00097DF0" w:rsidP="00E856E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44</w:t>
      </w:r>
      <w:r>
        <w:rPr>
          <w:lang w:val="fr-FR"/>
        </w:rPr>
        <w:fldChar w:fldCharType="end"/>
      </w:r>
      <w:r>
        <w:rPr>
          <w:lang w:val="fr-FR"/>
        </w:rPr>
        <w:t>.  </w:t>
      </w:r>
      <w:r w:rsidR="007A153C">
        <w:rPr>
          <w:lang w:val="fr-FR"/>
        </w:rPr>
        <w:t>Le Gouvernement conclut</w:t>
      </w:r>
      <w:r w:rsidR="00E856E2">
        <w:rPr>
          <w:lang w:val="fr-FR"/>
        </w:rPr>
        <w:t xml:space="preserve"> que l</w:t>
      </w:r>
      <w:r w:rsidR="005A6B8A">
        <w:rPr>
          <w:lang w:val="fr-FR"/>
        </w:rPr>
        <w:t>’</w:t>
      </w:r>
      <w:r w:rsidR="00E856E2">
        <w:rPr>
          <w:lang w:val="fr-FR"/>
        </w:rPr>
        <w:t>administration a pris toutes les dispositions pour concilier au mieux le handicap du requérant avec les impératifs de la détention, en lui permettant d</w:t>
      </w:r>
      <w:r w:rsidR="005A6B8A">
        <w:rPr>
          <w:lang w:val="fr-FR"/>
        </w:rPr>
        <w:t>’</w:t>
      </w:r>
      <w:r w:rsidR="00E856E2">
        <w:rPr>
          <w:lang w:val="fr-FR"/>
        </w:rPr>
        <w:t>être le plus autonome possible e</w:t>
      </w:r>
      <w:r w:rsidR="00EE1E35">
        <w:rPr>
          <w:lang w:val="fr-FR"/>
        </w:rPr>
        <w:t>t</w:t>
      </w:r>
      <w:r w:rsidR="00E856E2">
        <w:rPr>
          <w:lang w:val="fr-FR"/>
        </w:rPr>
        <w:t xml:space="preserve"> en assurant</w:t>
      </w:r>
      <w:r w:rsidR="00EE1E35">
        <w:rPr>
          <w:lang w:val="fr-FR"/>
        </w:rPr>
        <w:t xml:space="preserve"> son bien-être grâce à des activités cult</w:t>
      </w:r>
      <w:r>
        <w:rPr>
          <w:lang w:val="fr-FR"/>
        </w:rPr>
        <w:t>urelles et physiques</w:t>
      </w:r>
      <w:r w:rsidR="00EE1E35">
        <w:rPr>
          <w:lang w:val="fr-FR"/>
        </w:rPr>
        <w:t>.</w:t>
      </w:r>
    </w:p>
    <w:p w:rsidR="00067570" w:rsidRDefault="006D0E74" w:rsidP="00E856E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45</w:t>
      </w:r>
      <w:r>
        <w:rPr>
          <w:lang w:val="fr-FR"/>
        </w:rPr>
        <w:fldChar w:fldCharType="end"/>
      </w:r>
      <w:r>
        <w:rPr>
          <w:lang w:val="fr-FR"/>
        </w:rPr>
        <w:t>.  </w:t>
      </w:r>
      <w:r w:rsidR="00E856E2">
        <w:rPr>
          <w:lang w:val="fr-FR"/>
        </w:rPr>
        <w:t xml:space="preserve">Le Gouvernement considère que les mesures prises lors des extractions médicales étaient justifiées (paragraphe </w:t>
      </w:r>
      <w:r w:rsidR="00981F7C">
        <w:rPr>
          <w:lang w:val="fr-FR"/>
        </w:rPr>
        <w:t>20</w:t>
      </w:r>
      <w:r w:rsidR="00097DF0">
        <w:rPr>
          <w:lang w:val="fr-FR"/>
        </w:rPr>
        <w:t xml:space="preserve"> ci-dessus</w:t>
      </w:r>
      <w:r w:rsidR="00E856E2">
        <w:rPr>
          <w:lang w:val="fr-FR"/>
        </w:rPr>
        <w:t xml:space="preserve">) compte tenu des faits pour lesquels le requérant a été condamné, </w:t>
      </w:r>
      <w:r w:rsidR="00505273">
        <w:rPr>
          <w:lang w:val="fr-FR"/>
        </w:rPr>
        <w:t>de la peine prononcée ainsi que de</w:t>
      </w:r>
      <w:r w:rsidR="00E856E2">
        <w:rPr>
          <w:lang w:val="fr-FR"/>
        </w:rPr>
        <w:t xml:space="preserve"> la tentative d</w:t>
      </w:r>
      <w:r w:rsidR="005A6B8A">
        <w:rPr>
          <w:lang w:val="fr-FR"/>
        </w:rPr>
        <w:t>’</w:t>
      </w:r>
      <w:r w:rsidR="00E856E2">
        <w:rPr>
          <w:lang w:val="fr-FR"/>
        </w:rPr>
        <w:t xml:space="preserve">évasion ; il précise que les dispositifs de sécurité sont adaptés et réévalués régulièrement. </w:t>
      </w:r>
      <w:r>
        <w:rPr>
          <w:lang w:val="fr-FR"/>
        </w:rPr>
        <w:t xml:space="preserve">Les </w:t>
      </w:r>
      <w:r w:rsidR="00E856E2">
        <w:rPr>
          <w:lang w:val="fr-FR"/>
        </w:rPr>
        <w:t>fouilles</w:t>
      </w:r>
      <w:r>
        <w:rPr>
          <w:lang w:val="fr-FR"/>
        </w:rPr>
        <w:t xml:space="preserve"> sont également adaptées aux circonstances et ne peuvent, du seul fait de l</w:t>
      </w:r>
      <w:r w:rsidR="005A6B8A">
        <w:rPr>
          <w:lang w:val="fr-FR"/>
        </w:rPr>
        <w:t>’</w:t>
      </w:r>
      <w:r>
        <w:rPr>
          <w:lang w:val="fr-FR"/>
        </w:rPr>
        <w:t>état de santé du requérant, être considérées comme injustifiées.</w:t>
      </w:r>
    </w:p>
    <w:p w:rsidR="00067570" w:rsidRDefault="00E856E2" w:rsidP="007B0668">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46</w:t>
      </w:r>
      <w:r>
        <w:rPr>
          <w:lang w:val="fr-FR"/>
        </w:rPr>
        <w:fldChar w:fldCharType="end"/>
      </w:r>
      <w:r>
        <w:rPr>
          <w:lang w:val="fr-FR"/>
        </w:rPr>
        <w:t>.  </w:t>
      </w:r>
      <w:r w:rsidR="00861298">
        <w:rPr>
          <w:lang w:val="fr-FR"/>
        </w:rPr>
        <w:t>Quant aux soins apportés au requérant</w:t>
      </w:r>
      <w:r w:rsidR="00EE1E35">
        <w:rPr>
          <w:lang w:val="fr-FR"/>
        </w:rPr>
        <w:t xml:space="preserve">, le Gouvernement </w:t>
      </w:r>
      <w:r w:rsidR="006D0E74">
        <w:rPr>
          <w:lang w:val="fr-FR"/>
        </w:rPr>
        <w:t>indique</w:t>
      </w:r>
      <w:r w:rsidR="00EE1E35">
        <w:rPr>
          <w:lang w:val="fr-FR"/>
        </w:rPr>
        <w:t xml:space="preserve"> que l</w:t>
      </w:r>
      <w:r w:rsidR="005A6B8A">
        <w:rPr>
          <w:lang w:val="fr-FR"/>
        </w:rPr>
        <w:t>’</w:t>
      </w:r>
      <w:r w:rsidR="00EE1E35">
        <w:rPr>
          <w:lang w:val="fr-FR"/>
        </w:rPr>
        <w:t xml:space="preserve">administration pénitentiaire </w:t>
      </w:r>
      <w:r w:rsidR="00097DF0">
        <w:rPr>
          <w:lang w:val="fr-FR"/>
        </w:rPr>
        <w:t xml:space="preserve">lui </w:t>
      </w:r>
      <w:r w:rsidR="00EE1E35">
        <w:rPr>
          <w:lang w:val="fr-FR"/>
        </w:rPr>
        <w:t>a fourni l</w:t>
      </w:r>
      <w:r w:rsidR="005A6B8A">
        <w:rPr>
          <w:lang w:val="fr-FR"/>
        </w:rPr>
        <w:t>’</w:t>
      </w:r>
      <w:r w:rsidR="00EE1E35">
        <w:rPr>
          <w:lang w:val="fr-FR"/>
        </w:rPr>
        <w:t>ensemble du matérie</w:t>
      </w:r>
      <w:r w:rsidR="00DC20E6">
        <w:rPr>
          <w:lang w:val="fr-FR"/>
        </w:rPr>
        <w:t>l requis par son handicap, ce</w:t>
      </w:r>
      <w:r w:rsidR="00EE1E35">
        <w:rPr>
          <w:lang w:val="fr-FR"/>
        </w:rPr>
        <w:t xml:space="preserve"> matériel incluant notamment un coussin anti-escarre pour le parloir, un matelas anti-escarre dans sa cellule ou encore une chaise plastique lui permettant de prendre sa dou</w:t>
      </w:r>
      <w:r w:rsidR="003363EF">
        <w:rPr>
          <w:lang w:val="fr-FR"/>
        </w:rPr>
        <w:t xml:space="preserve">che. Il rappelle également les hospitalisations et extractions </w:t>
      </w:r>
      <w:r>
        <w:rPr>
          <w:lang w:val="fr-FR"/>
        </w:rPr>
        <w:t>dont a fait l</w:t>
      </w:r>
      <w:r w:rsidR="005A6B8A">
        <w:rPr>
          <w:lang w:val="fr-FR"/>
        </w:rPr>
        <w:t>’</w:t>
      </w:r>
      <w:r>
        <w:rPr>
          <w:lang w:val="fr-FR"/>
        </w:rPr>
        <w:t>objet le</w:t>
      </w:r>
      <w:r w:rsidR="006D0E74">
        <w:rPr>
          <w:lang w:val="fr-FR"/>
        </w:rPr>
        <w:t xml:space="preserve"> requérant</w:t>
      </w:r>
      <w:r w:rsidR="003363EF">
        <w:rPr>
          <w:lang w:val="fr-FR"/>
        </w:rPr>
        <w:t xml:space="preserve"> (paragraphe</w:t>
      </w:r>
      <w:r w:rsidR="004A38B5">
        <w:rPr>
          <w:lang w:val="fr-FR"/>
        </w:rPr>
        <w:t xml:space="preserve"> 1</w:t>
      </w:r>
      <w:r w:rsidR="00981F7C">
        <w:rPr>
          <w:lang w:val="fr-FR"/>
        </w:rPr>
        <w:t>6</w:t>
      </w:r>
      <w:r w:rsidR="004A38B5">
        <w:rPr>
          <w:lang w:val="fr-FR"/>
        </w:rPr>
        <w:t xml:space="preserve"> </w:t>
      </w:r>
      <w:r w:rsidR="003363EF">
        <w:rPr>
          <w:lang w:val="fr-FR"/>
        </w:rPr>
        <w:t>ci-dessus), ainsi que les diligences accomplies pour</w:t>
      </w:r>
      <w:r w:rsidR="001E0C7D">
        <w:rPr>
          <w:lang w:val="fr-FR"/>
        </w:rPr>
        <w:t xml:space="preserve"> qu</w:t>
      </w:r>
      <w:r w:rsidR="005A6B8A">
        <w:rPr>
          <w:lang w:val="fr-FR"/>
        </w:rPr>
        <w:t>’</w:t>
      </w:r>
      <w:r w:rsidR="001E0C7D">
        <w:rPr>
          <w:lang w:val="fr-FR"/>
        </w:rPr>
        <w:t>un kinésithérapeute intervienne au centre de détention d</w:t>
      </w:r>
      <w:r w:rsidR="005A6B8A">
        <w:rPr>
          <w:lang w:val="fr-FR"/>
        </w:rPr>
        <w:t>’</w:t>
      </w:r>
      <w:r w:rsidR="001E0C7D">
        <w:rPr>
          <w:lang w:val="fr-FR"/>
        </w:rPr>
        <w:t>Uzerche à partir de septembre 2012</w:t>
      </w:r>
      <w:r w:rsidR="00981F7C">
        <w:rPr>
          <w:lang w:val="fr-FR"/>
        </w:rPr>
        <w:t xml:space="preserve"> (paragraphe 17</w:t>
      </w:r>
      <w:r w:rsidR="004A38B5">
        <w:rPr>
          <w:lang w:val="fr-FR"/>
        </w:rPr>
        <w:t xml:space="preserve"> ci-dessus)</w:t>
      </w:r>
      <w:r w:rsidR="006D0E74">
        <w:rPr>
          <w:lang w:val="fr-FR"/>
        </w:rPr>
        <w:t>, pour conclure que les conditions de détention du requérant au regard de son état de santé ne peuvent être regardées comme constitutives d</w:t>
      </w:r>
      <w:r w:rsidR="005A6B8A">
        <w:rPr>
          <w:lang w:val="fr-FR"/>
        </w:rPr>
        <w:t>’</w:t>
      </w:r>
      <w:r w:rsidR="006D0E74">
        <w:rPr>
          <w:lang w:val="fr-FR"/>
        </w:rPr>
        <w:t>un traitement contraire à l</w:t>
      </w:r>
      <w:r w:rsidR="005A6B8A">
        <w:rPr>
          <w:lang w:val="fr-FR"/>
        </w:rPr>
        <w:t>’</w:t>
      </w:r>
      <w:r w:rsidR="006D0E74">
        <w:rPr>
          <w:lang w:val="fr-FR"/>
        </w:rPr>
        <w:t>article 3 de la Convention.</w:t>
      </w:r>
    </w:p>
    <w:p w:rsidR="007C7546" w:rsidRDefault="00EA4DEF" w:rsidP="007C7546">
      <w:pPr>
        <w:pStyle w:val="ECHRHeading3"/>
        <w:rPr>
          <w:lang w:val="fr-FR"/>
        </w:rPr>
      </w:pPr>
      <w:r>
        <w:rPr>
          <w:lang w:val="fr-FR"/>
        </w:rPr>
        <w:t>2.  </w:t>
      </w:r>
      <w:r w:rsidR="007C7546">
        <w:rPr>
          <w:lang w:val="fr-FR"/>
        </w:rPr>
        <w:t>Appréciation de la Cour</w:t>
      </w:r>
    </w:p>
    <w:p w:rsidR="00CB4444" w:rsidRDefault="00EA4DEF" w:rsidP="00CB4444">
      <w:pPr>
        <w:pStyle w:val="ECHRHeading4"/>
        <w:rPr>
          <w:lang w:val="fr-FR"/>
        </w:rPr>
      </w:pPr>
      <w:r>
        <w:rPr>
          <w:lang w:val="fr-FR"/>
        </w:rPr>
        <w:t>a)  </w:t>
      </w:r>
      <w:r w:rsidR="00CB4444">
        <w:rPr>
          <w:lang w:val="fr-FR"/>
        </w:rPr>
        <w:t>Principes généraux</w:t>
      </w:r>
    </w:p>
    <w:p w:rsidR="00C46558" w:rsidRPr="00C46558" w:rsidRDefault="003F2565" w:rsidP="00C46558">
      <w:pPr>
        <w:pStyle w:val="ECHRHeading5"/>
        <w:rPr>
          <w:lang w:val="fr-FR"/>
        </w:rPr>
      </w:pPr>
      <w:r>
        <w:rPr>
          <w:lang w:val="fr-FR"/>
        </w:rPr>
        <w:t>i.  </w:t>
      </w:r>
      <w:r w:rsidR="00C46558">
        <w:rPr>
          <w:lang w:val="fr-FR"/>
        </w:rPr>
        <w:t>Obligations de soins</w:t>
      </w:r>
    </w:p>
    <w:p w:rsidR="00067570" w:rsidRDefault="00A37952">
      <w:pPr>
        <w:pStyle w:val="ECHRPara"/>
        <w:rPr>
          <w:lang w:val="fr-FR"/>
        </w:rPr>
      </w:pPr>
      <w:r w:rsidRPr="004A38B5">
        <w:fldChar w:fldCharType="begin"/>
      </w:r>
      <w:r w:rsidRPr="004A38B5">
        <w:rPr>
          <w:lang w:val="fr-FR"/>
        </w:rPr>
        <w:instrText xml:space="preserve"> SEQ level0 \*arabic </w:instrText>
      </w:r>
      <w:r w:rsidRPr="004A38B5">
        <w:fldChar w:fldCharType="separate"/>
      </w:r>
      <w:r w:rsidR="00746EA9">
        <w:rPr>
          <w:noProof/>
          <w:lang w:val="fr-FR"/>
        </w:rPr>
        <w:t>47</w:t>
      </w:r>
      <w:r w:rsidRPr="004A38B5">
        <w:fldChar w:fldCharType="end"/>
      </w:r>
      <w:r w:rsidR="006E73D6" w:rsidRPr="004A38B5">
        <w:rPr>
          <w:lang w:val="fr-FR"/>
        </w:rPr>
        <w:t>.  </w:t>
      </w:r>
      <w:r w:rsidR="00FE7244">
        <w:rPr>
          <w:lang w:val="fr-FR"/>
        </w:rPr>
        <w:t xml:space="preserve">La Cour </w:t>
      </w:r>
      <w:r w:rsidR="00322988">
        <w:rPr>
          <w:lang w:val="fr-FR"/>
        </w:rPr>
        <w:t xml:space="preserve">renvoie à sa jurisprudence constante selon laquelle le devoir de soigner la personne </w:t>
      </w:r>
      <w:r w:rsidR="00682520" w:rsidRPr="004A38B5">
        <w:rPr>
          <w:lang w:val="fr-FR"/>
        </w:rPr>
        <w:t>malade au cours de sa détention met à la charge de l</w:t>
      </w:r>
      <w:r w:rsidR="005A6B8A">
        <w:rPr>
          <w:lang w:val="fr-FR"/>
        </w:rPr>
        <w:t>’</w:t>
      </w:r>
      <w:r w:rsidR="007E20BE" w:rsidRPr="004A38B5">
        <w:rPr>
          <w:lang w:val="fr-FR"/>
        </w:rPr>
        <w:t>État</w:t>
      </w:r>
      <w:r w:rsidR="00682520" w:rsidRPr="004A38B5">
        <w:rPr>
          <w:lang w:val="fr-FR"/>
        </w:rPr>
        <w:t xml:space="preserve"> les obligations particulières </w:t>
      </w:r>
      <w:r w:rsidR="00DD02EB" w:rsidRPr="004A38B5">
        <w:rPr>
          <w:lang w:val="fr-FR"/>
        </w:rPr>
        <w:t xml:space="preserve">suivantes : </w:t>
      </w:r>
      <w:r w:rsidR="00682520" w:rsidRPr="004A38B5">
        <w:rPr>
          <w:lang w:val="fr-FR"/>
        </w:rPr>
        <w:t>veiller à ce que le détenu soit capable de purger sa peine, lui administrer les soins médicaux nécessaires et</w:t>
      </w:r>
      <w:r w:rsidR="00067570">
        <w:rPr>
          <w:lang w:val="fr-FR"/>
        </w:rPr>
        <w:t xml:space="preserve"> </w:t>
      </w:r>
      <w:r w:rsidR="00682520" w:rsidRPr="004A38B5">
        <w:rPr>
          <w:lang w:val="fr-FR"/>
        </w:rPr>
        <w:t>adapter, le cas échéant, les conditions générales de détention à la situation particulière de son état de santé</w:t>
      </w:r>
      <w:r w:rsidR="00FE7244">
        <w:rPr>
          <w:lang w:val="fr-FR"/>
        </w:rPr>
        <w:t xml:space="preserve">. </w:t>
      </w:r>
      <w:r w:rsidR="00322988">
        <w:rPr>
          <w:lang w:val="fr-FR"/>
        </w:rPr>
        <w:t xml:space="preserve">Ces obligations sont rappelées très clairement dans son arrêt </w:t>
      </w:r>
      <w:r w:rsidR="004A38B5" w:rsidRPr="004A38B5">
        <w:rPr>
          <w:i/>
          <w:lang w:val="fr-FR"/>
        </w:rPr>
        <w:t>Xiros c. Grèce</w:t>
      </w:r>
      <w:r w:rsidR="004A38B5" w:rsidRPr="004A38B5">
        <w:rPr>
          <w:lang w:val="fr-FR"/>
        </w:rPr>
        <w:t xml:space="preserve"> </w:t>
      </w:r>
      <w:r w:rsidR="008E3E30">
        <w:rPr>
          <w:lang w:val="fr-FR"/>
        </w:rPr>
        <w:t>(</w:t>
      </w:r>
      <w:r w:rsidR="004A38B5" w:rsidRPr="004A38B5">
        <w:rPr>
          <w:lang w:val="fr-FR"/>
        </w:rPr>
        <w:t>n</w:t>
      </w:r>
      <w:r w:rsidR="004A38B5" w:rsidRPr="004A38B5">
        <w:rPr>
          <w:vertAlign w:val="superscript"/>
          <w:lang w:val="fr-FR"/>
        </w:rPr>
        <w:t>o</w:t>
      </w:r>
      <w:r w:rsidR="004A38B5" w:rsidRPr="004A38B5">
        <w:rPr>
          <w:lang w:val="fr-FR"/>
        </w:rPr>
        <w:t xml:space="preserve"> 1033/07</w:t>
      </w:r>
      <w:r w:rsidR="004A38B5" w:rsidRPr="004A38B5">
        <w:rPr>
          <w:snapToGrid w:val="0"/>
          <w:szCs w:val="24"/>
          <w:lang w:val="fr-FR"/>
        </w:rPr>
        <w:t xml:space="preserve">, § </w:t>
      </w:r>
      <w:r w:rsidR="004A38B5">
        <w:rPr>
          <w:snapToGrid w:val="0"/>
          <w:szCs w:val="24"/>
          <w:lang w:val="fr-FR"/>
        </w:rPr>
        <w:t>73</w:t>
      </w:r>
      <w:r w:rsidR="004A38B5" w:rsidRPr="004A38B5">
        <w:rPr>
          <w:snapToGrid w:val="0"/>
          <w:szCs w:val="24"/>
          <w:lang w:val="fr-FR"/>
        </w:rPr>
        <w:t xml:space="preserve">, </w:t>
      </w:r>
      <w:r w:rsidR="004A38B5" w:rsidRPr="004A38B5">
        <w:rPr>
          <w:szCs w:val="24"/>
          <w:lang w:val="fr-FR"/>
        </w:rPr>
        <w:t>9</w:t>
      </w:r>
      <w:r w:rsidR="004A38B5" w:rsidRPr="004A38B5">
        <w:rPr>
          <w:snapToGrid w:val="0"/>
          <w:szCs w:val="24"/>
          <w:lang w:val="fr-FR"/>
        </w:rPr>
        <w:t xml:space="preserve"> septembre 2010</w:t>
      </w:r>
      <w:r w:rsidR="008E3E30">
        <w:rPr>
          <w:snapToGrid w:val="0"/>
          <w:szCs w:val="24"/>
          <w:lang w:val="fr-FR"/>
        </w:rPr>
        <w:t> ; voir, plus récemment, l</w:t>
      </w:r>
      <w:r w:rsidR="005A6B8A">
        <w:rPr>
          <w:snapToGrid w:val="0"/>
          <w:szCs w:val="24"/>
          <w:lang w:val="fr-FR"/>
        </w:rPr>
        <w:t>’</w:t>
      </w:r>
      <w:r w:rsidR="008E3E30">
        <w:rPr>
          <w:snapToGrid w:val="0"/>
          <w:szCs w:val="24"/>
          <w:lang w:val="fr-FR"/>
        </w:rPr>
        <w:t xml:space="preserve">arrêt </w:t>
      </w:r>
      <w:r w:rsidR="008E3E30" w:rsidRPr="008E3E30">
        <w:rPr>
          <w:i/>
          <w:snapToGrid w:val="0"/>
          <w:lang w:val="fr-FR"/>
        </w:rPr>
        <w:t>Ürfi Çetinkaya</w:t>
      </w:r>
      <w:r w:rsidR="008E3E30" w:rsidRPr="008E3E30">
        <w:rPr>
          <w:snapToGrid w:val="0"/>
          <w:lang w:val="fr-FR"/>
        </w:rPr>
        <w:t xml:space="preserve"> </w:t>
      </w:r>
      <w:r w:rsidR="008E3E30" w:rsidRPr="008E3E30">
        <w:rPr>
          <w:i/>
          <w:snapToGrid w:val="0"/>
          <w:lang w:val="fr-FR"/>
        </w:rPr>
        <w:t>c. Turquie</w:t>
      </w:r>
      <w:r w:rsidR="008E3E30" w:rsidRPr="008E3E30">
        <w:rPr>
          <w:snapToGrid w:val="0"/>
          <w:lang w:val="fr-FR"/>
        </w:rPr>
        <w:t>, n</w:t>
      </w:r>
      <w:r w:rsidR="008E3E30" w:rsidRPr="008E3E30">
        <w:rPr>
          <w:snapToGrid w:val="0"/>
          <w:vertAlign w:val="superscript"/>
          <w:lang w:val="fr-FR"/>
        </w:rPr>
        <w:t>o</w:t>
      </w:r>
      <w:r w:rsidR="008E3E30" w:rsidRPr="008E3E30">
        <w:rPr>
          <w:snapToGrid w:val="0"/>
          <w:lang w:val="fr-FR"/>
        </w:rPr>
        <w:t xml:space="preserve"> 19866/04, §</w:t>
      </w:r>
      <w:r w:rsidR="008E3E30">
        <w:rPr>
          <w:snapToGrid w:val="0"/>
          <w:lang w:val="fr-FR"/>
        </w:rPr>
        <w:t>§ 87 à 92</w:t>
      </w:r>
      <w:r w:rsidR="008E3E30" w:rsidRPr="008E3E30">
        <w:rPr>
          <w:snapToGrid w:val="0"/>
          <w:lang w:val="fr-FR"/>
        </w:rPr>
        <w:t>, 23 juillet 2013</w:t>
      </w:r>
      <w:r w:rsidR="00322988">
        <w:rPr>
          <w:lang w:val="fr-FR"/>
        </w:rPr>
        <w:t>) et peuvent être ainsi résumées.</w:t>
      </w:r>
    </w:p>
    <w:p w:rsidR="00067570" w:rsidRDefault="0074002D">
      <w:pPr>
        <w:pStyle w:val="ECHRPara"/>
        <w:rPr>
          <w:lang w:val="fr-FR"/>
        </w:rPr>
      </w:pPr>
      <w:r>
        <w:fldChar w:fldCharType="begin"/>
      </w:r>
      <w:r w:rsidRPr="005E2C51">
        <w:rPr>
          <w:lang w:val="fr-FR"/>
        </w:rPr>
        <w:instrText xml:space="preserve"> SEQ level0 \*arabic </w:instrText>
      </w:r>
      <w:r>
        <w:fldChar w:fldCharType="separate"/>
      </w:r>
      <w:r w:rsidR="00746EA9">
        <w:rPr>
          <w:noProof/>
          <w:lang w:val="fr-FR"/>
        </w:rPr>
        <w:t>48</w:t>
      </w:r>
      <w:r>
        <w:fldChar w:fldCharType="end"/>
      </w:r>
      <w:r w:rsidR="003F2B66" w:rsidRPr="005E2C51">
        <w:rPr>
          <w:lang w:val="fr-FR"/>
        </w:rPr>
        <w:t>.  </w:t>
      </w:r>
      <w:r w:rsidR="00682520" w:rsidRPr="005E2C51">
        <w:rPr>
          <w:lang w:val="fr-FR"/>
        </w:rPr>
        <w:t xml:space="preserve">Quant </w:t>
      </w:r>
      <w:r w:rsidR="001F3930" w:rsidRPr="005E2C51">
        <w:rPr>
          <w:lang w:val="fr-FR"/>
        </w:rPr>
        <w:t>à</w:t>
      </w:r>
      <w:r w:rsidR="00682520" w:rsidRPr="005E2C51">
        <w:rPr>
          <w:lang w:val="fr-FR"/>
        </w:rPr>
        <w:t xml:space="preserve"> la première obligation, dans un </w:t>
      </w:r>
      <w:r w:rsidR="007E20BE" w:rsidRPr="005E2C51">
        <w:rPr>
          <w:lang w:val="fr-FR"/>
        </w:rPr>
        <w:t>État</w:t>
      </w:r>
      <w:r w:rsidR="00682520" w:rsidRPr="005E2C51">
        <w:rPr>
          <w:lang w:val="fr-FR"/>
        </w:rPr>
        <w:t xml:space="preserve"> de droit, la capacité à subir une détention est la condition pour que l</w:t>
      </w:r>
      <w:r w:rsidR="005A6B8A">
        <w:rPr>
          <w:lang w:val="fr-FR"/>
        </w:rPr>
        <w:t>’</w:t>
      </w:r>
      <w:r w:rsidR="00682520" w:rsidRPr="005E2C51">
        <w:rPr>
          <w:lang w:val="fr-FR"/>
        </w:rPr>
        <w:t>exécution de la peine puisse être</w:t>
      </w:r>
      <w:r w:rsidR="001F3930" w:rsidRPr="005E2C51">
        <w:rPr>
          <w:lang w:val="fr-FR"/>
        </w:rPr>
        <w:t xml:space="preserve"> poursuivie. </w:t>
      </w:r>
      <w:r w:rsidR="00DC20E6">
        <w:rPr>
          <w:lang w:val="fr-FR"/>
        </w:rPr>
        <w:t>Si l</w:t>
      </w:r>
      <w:r w:rsidR="005A6B8A">
        <w:rPr>
          <w:lang w:val="fr-FR"/>
        </w:rPr>
        <w:t>’</w:t>
      </w:r>
      <w:r w:rsidR="00DC20E6">
        <w:rPr>
          <w:lang w:val="fr-FR"/>
        </w:rPr>
        <w:t>on ne peut en déduire une obligation générale de remettre en liberté ou bien de transférer dans un hôpital civil un détenu</w:t>
      </w:r>
      <w:r w:rsidR="00FE7244">
        <w:rPr>
          <w:lang w:val="fr-FR"/>
        </w:rPr>
        <w:t>, même si ce dernier souffre d</w:t>
      </w:r>
      <w:r w:rsidR="005A6B8A">
        <w:rPr>
          <w:lang w:val="fr-FR"/>
        </w:rPr>
        <w:t>’</w:t>
      </w:r>
      <w:r w:rsidR="00FE7244">
        <w:rPr>
          <w:lang w:val="fr-FR"/>
        </w:rPr>
        <w:t>une maladie particulièrement difficile à soigner, l</w:t>
      </w:r>
      <w:r w:rsidR="001F3930" w:rsidRPr="005E2C51">
        <w:rPr>
          <w:lang w:val="fr-FR"/>
        </w:rPr>
        <w:t>a Cour ne saurait exclure que, dans des condit</w:t>
      </w:r>
      <w:r w:rsidR="00DC20E6">
        <w:rPr>
          <w:lang w:val="fr-FR"/>
        </w:rPr>
        <w:t xml:space="preserve">ions particulièrement graves, </w:t>
      </w:r>
      <w:r w:rsidR="001F3930" w:rsidRPr="005E2C51">
        <w:rPr>
          <w:lang w:val="fr-FR"/>
        </w:rPr>
        <w:t>on puisse se trouver en présence de situations où une bonne administration de la justice pénale exige que des mesures de nature humanitaire soient prises pour y parer. Partant, dans des cas exceptionnels où l</w:t>
      </w:r>
      <w:r w:rsidR="005A6B8A">
        <w:rPr>
          <w:lang w:val="fr-FR"/>
        </w:rPr>
        <w:t>’</w:t>
      </w:r>
      <w:r w:rsidR="001F3930" w:rsidRPr="005E2C51">
        <w:rPr>
          <w:lang w:val="fr-FR"/>
        </w:rPr>
        <w:t>état de santé du détenu est absolument incompatible avec sa détention, l</w:t>
      </w:r>
      <w:r w:rsidR="005A6B8A">
        <w:rPr>
          <w:lang w:val="fr-FR"/>
        </w:rPr>
        <w:t>’</w:t>
      </w:r>
      <w:r w:rsidR="001F3930" w:rsidRPr="005E2C51">
        <w:rPr>
          <w:lang w:val="fr-FR"/>
        </w:rPr>
        <w:t>article 3 peut exiger la libération de la personne concernée sous certaines conditions</w:t>
      </w:r>
      <w:r w:rsidR="00322988">
        <w:rPr>
          <w:lang w:val="fr-FR"/>
        </w:rPr>
        <w:t xml:space="preserve"> (</w:t>
      </w:r>
      <w:r w:rsidR="00322988" w:rsidRPr="00322988">
        <w:rPr>
          <w:i/>
          <w:lang w:val="fr-FR"/>
        </w:rPr>
        <w:t>Xiros</w:t>
      </w:r>
      <w:r w:rsidR="00322988">
        <w:rPr>
          <w:lang w:val="fr-FR"/>
        </w:rPr>
        <w:t>, précité, § 74)</w:t>
      </w:r>
      <w:r w:rsidR="001F3930" w:rsidRPr="005E2C51">
        <w:rPr>
          <w:lang w:val="fr-FR"/>
        </w:rPr>
        <w:t>.</w:t>
      </w:r>
    </w:p>
    <w:p w:rsidR="003F2B66" w:rsidRPr="00485AF2" w:rsidRDefault="00682520" w:rsidP="00F26BC8">
      <w:pPr>
        <w:pStyle w:val="ECHRPara"/>
        <w:rPr>
          <w:lang w:val="fr-FR"/>
        </w:rPr>
      </w:pPr>
      <w:r w:rsidRPr="005E2C51">
        <w:rPr>
          <w:lang w:val="fr-FR"/>
        </w:rPr>
        <w:t>Concernant la deuxième obligation, le manque de soins médicaux appropriés peut en principe constituer un traitement contraire à l</w:t>
      </w:r>
      <w:r w:rsidR="005A6B8A">
        <w:rPr>
          <w:lang w:val="fr-FR"/>
        </w:rPr>
        <w:t>’</w:t>
      </w:r>
      <w:r w:rsidRPr="005E2C51">
        <w:rPr>
          <w:lang w:val="fr-FR"/>
        </w:rPr>
        <w:t>article 3</w:t>
      </w:r>
      <w:r w:rsidR="00474553">
        <w:rPr>
          <w:lang w:val="fr-FR"/>
        </w:rPr>
        <w:t>.</w:t>
      </w:r>
      <w:r w:rsidRPr="005E2C51">
        <w:rPr>
          <w:lang w:val="fr-FR"/>
        </w:rPr>
        <w:t xml:space="preserve"> La Cour exige, tout d</w:t>
      </w:r>
      <w:r w:rsidR="005A6B8A">
        <w:rPr>
          <w:lang w:val="fr-FR"/>
        </w:rPr>
        <w:t>’</w:t>
      </w:r>
      <w:r w:rsidRPr="005E2C51">
        <w:rPr>
          <w:lang w:val="fr-FR"/>
        </w:rPr>
        <w:t>abord, l</w:t>
      </w:r>
      <w:r w:rsidR="005A6B8A">
        <w:rPr>
          <w:lang w:val="fr-FR"/>
        </w:rPr>
        <w:t>’</w:t>
      </w:r>
      <w:r w:rsidRPr="005E2C51">
        <w:rPr>
          <w:lang w:val="fr-FR"/>
        </w:rPr>
        <w:t>existence d</w:t>
      </w:r>
      <w:r w:rsidR="005A6B8A">
        <w:rPr>
          <w:lang w:val="fr-FR"/>
        </w:rPr>
        <w:t>’</w:t>
      </w:r>
      <w:r w:rsidRPr="005E2C51">
        <w:rPr>
          <w:lang w:val="fr-FR"/>
        </w:rPr>
        <w:t>un encadrement médical pertinent du malade et l</w:t>
      </w:r>
      <w:r w:rsidR="005A6B8A">
        <w:rPr>
          <w:lang w:val="fr-FR"/>
        </w:rPr>
        <w:t>’</w:t>
      </w:r>
      <w:r w:rsidRPr="005E2C51">
        <w:rPr>
          <w:lang w:val="fr-FR"/>
        </w:rPr>
        <w:t xml:space="preserve">adéquation des soins médicaux prescrits à sa situation particulière. </w:t>
      </w:r>
      <w:r w:rsidR="001F3930" w:rsidRPr="005E2C51">
        <w:rPr>
          <w:lang w:val="fr-FR"/>
        </w:rPr>
        <w:t>L</w:t>
      </w:r>
      <w:r w:rsidRPr="005E2C51">
        <w:rPr>
          <w:lang w:val="fr-FR"/>
        </w:rPr>
        <w:t>a diligence et la fréquence avec lesquelles les soins médicaux sont dispensés à l</w:t>
      </w:r>
      <w:r w:rsidR="005A6B8A">
        <w:rPr>
          <w:lang w:val="fr-FR"/>
        </w:rPr>
        <w:t>’</w:t>
      </w:r>
      <w:r w:rsidRPr="005E2C51">
        <w:rPr>
          <w:lang w:val="fr-FR"/>
        </w:rPr>
        <w:t>intéressé sont deux éléments à prendre en compte pour mesurer la compatibilité de son traitement avec les exigences de l</w:t>
      </w:r>
      <w:r w:rsidR="005A6B8A">
        <w:rPr>
          <w:lang w:val="fr-FR"/>
        </w:rPr>
        <w:t>’</w:t>
      </w:r>
      <w:r w:rsidRPr="005E2C51">
        <w:rPr>
          <w:lang w:val="fr-FR"/>
        </w:rPr>
        <w:t>article 3. En particulier, ces deux facteurs ne sont pas évalués par la Cour en des termes absolus, mais en tenant compte chaque fois de l</w:t>
      </w:r>
      <w:r w:rsidR="005A6B8A">
        <w:rPr>
          <w:lang w:val="fr-FR"/>
        </w:rPr>
        <w:t>’</w:t>
      </w:r>
      <w:r w:rsidRPr="005E2C51">
        <w:rPr>
          <w:lang w:val="fr-FR"/>
        </w:rPr>
        <w:t>état particulier de santé du détenu. En général, la dégradation de la santé du détenu ne joue pas en soi un rôle déterminant quant au respect de l</w:t>
      </w:r>
      <w:r w:rsidR="005A6B8A">
        <w:rPr>
          <w:lang w:val="fr-FR"/>
        </w:rPr>
        <w:t>’</w:t>
      </w:r>
      <w:r w:rsidRPr="005E2C51">
        <w:rPr>
          <w:lang w:val="fr-FR"/>
        </w:rPr>
        <w:t>article 3 de la Convention.</w:t>
      </w:r>
      <w:r w:rsidR="007B38F4">
        <w:rPr>
          <w:lang w:val="fr-FR"/>
        </w:rPr>
        <w:t xml:space="preserve"> La Cour examine dans chaque cas</w:t>
      </w:r>
      <w:r w:rsidRPr="00485AF2">
        <w:rPr>
          <w:lang w:val="fr-FR"/>
        </w:rPr>
        <w:t xml:space="preserve"> si la détérioration de l</w:t>
      </w:r>
      <w:r w:rsidR="005A6B8A">
        <w:rPr>
          <w:lang w:val="fr-FR"/>
        </w:rPr>
        <w:t>’</w:t>
      </w:r>
      <w:r w:rsidRPr="00485AF2">
        <w:rPr>
          <w:lang w:val="fr-FR"/>
        </w:rPr>
        <w:t>état de santé de l</w:t>
      </w:r>
      <w:r w:rsidR="005A6B8A">
        <w:rPr>
          <w:lang w:val="fr-FR"/>
        </w:rPr>
        <w:t>’</w:t>
      </w:r>
      <w:r w:rsidRPr="00485AF2">
        <w:rPr>
          <w:lang w:val="fr-FR"/>
        </w:rPr>
        <w:t>intéressé était imputable à de</w:t>
      </w:r>
      <w:r w:rsidR="005157D5">
        <w:rPr>
          <w:lang w:val="fr-FR"/>
        </w:rPr>
        <w:t>s</w:t>
      </w:r>
      <w:r w:rsidRPr="00485AF2">
        <w:rPr>
          <w:lang w:val="fr-FR"/>
        </w:rPr>
        <w:t xml:space="preserve"> lacunes dans les soins médicaux dispensés</w:t>
      </w:r>
      <w:r w:rsidR="00322988">
        <w:rPr>
          <w:lang w:val="fr-FR"/>
        </w:rPr>
        <w:t xml:space="preserve"> (</w:t>
      </w:r>
      <w:r w:rsidR="008E3E30">
        <w:rPr>
          <w:i/>
          <w:lang w:val="fr-FR"/>
        </w:rPr>
        <w:t>idem</w:t>
      </w:r>
      <w:r w:rsidR="00322988">
        <w:rPr>
          <w:lang w:val="fr-FR"/>
        </w:rPr>
        <w:t>, § 75)</w:t>
      </w:r>
      <w:r w:rsidRPr="00485AF2">
        <w:rPr>
          <w:lang w:val="fr-FR"/>
        </w:rPr>
        <w:t>.</w:t>
      </w:r>
    </w:p>
    <w:p w:rsidR="004A38B5" w:rsidRPr="00485AF2" w:rsidRDefault="001F3930" w:rsidP="004A38B5">
      <w:pPr>
        <w:pStyle w:val="ECHRPara"/>
        <w:rPr>
          <w:lang w:val="fr-FR"/>
        </w:rPr>
      </w:pPr>
      <w:r w:rsidRPr="00485AF2">
        <w:rPr>
          <w:lang w:val="fr-FR"/>
        </w:rPr>
        <w:t>P</w:t>
      </w:r>
      <w:r w:rsidR="00682520" w:rsidRPr="00485AF2">
        <w:rPr>
          <w:lang w:val="fr-FR"/>
        </w:rPr>
        <w:t>our ce qui est de la troisième obligation, la Cour exige que l</w:t>
      </w:r>
      <w:r w:rsidR="005A6B8A">
        <w:rPr>
          <w:lang w:val="fr-FR"/>
        </w:rPr>
        <w:t>’</w:t>
      </w:r>
      <w:r w:rsidR="00682520" w:rsidRPr="00485AF2">
        <w:rPr>
          <w:lang w:val="fr-FR"/>
        </w:rPr>
        <w:t>environnement carcéral soit adapté, si nécessaire, aux besoins spéciaux du détenu afin de lui permettre de purger sa peine dans des conditions qui ne portent pas atteinte à son intégrité morale</w:t>
      </w:r>
      <w:r w:rsidR="00322988">
        <w:rPr>
          <w:lang w:val="fr-FR"/>
        </w:rPr>
        <w:t xml:space="preserve"> (</w:t>
      </w:r>
      <w:r w:rsidR="008E3E30" w:rsidRPr="008E3E30">
        <w:rPr>
          <w:i/>
          <w:lang w:val="fr-FR"/>
        </w:rPr>
        <w:t>idem</w:t>
      </w:r>
      <w:r w:rsidR="008E3E30">
        <w:rPr>
          <w:lang w:val="fr-FR"/>
        </w:rPr>
        <w:t xml:space="preserve">, </w:t>
      </w:r>
      <w:r w:rsidR="00322988">
        <w:rPr>
          <w:lang w:val="fr-FR"/>
        </w:rPr>
        <w:t>§ 76)</w:t>
      </w:r>
      <w:r w:rsidR="00682520" w:rsidRPr="00485AF2">
        <w:rPr>
          <w:lang w:val="fr-FR"/>
        </w:rPr>
        <w:t>.</w:t>
      </w:r>
    </w:p>
    <w:p w:rsidR="00C46558" w:rsidRPr="009E2ED8" w:rsidRDefault="009E2ED8" w:rsidP="009E2ED8">
      <w:pPr>
        <w:pStyle w:val="ECHRHeading5"/>
        <w:rPr>
          <w:lang w:val="fr-FR"/>
        </w:rPr>
      </w:pPr>
      <w:r w:rsidRPr="009E2ED8">
        <w:rPr>
          <w:lang w:val="fr-FR"/>
        </w:rPr>
        <w:t>i</w:t>
      </w:r>
      <w:r w:rsidR="003F2565" w:rsidRPr="009E2ED8">
        <w:rPr>
          <w:lang w:val="fr-FR"/>
        </w:rPr>
        <w:t>i</w:t>
      </w:r>
      <w:r w:rsidRPr="009E2ED8">
        <w:rPr>
          <w:lang w:val="fr-FR"/>
        </w:rPr>
        <w:t>.</w:t>
      </w:r>
      <w:r w:rsidR="003F2565" w:rsidRPr="009E2ED8">
        <w:rPr>
          <w:lang w:val="fr-FR"/>
        </w:rPr>
        <w:t>  </w:t>
      </w:r>
      <w:r w:rsidR="00C46558" w:rsidRPr="009E2ED8">
        <w:rPr>
          <w:lang w:val="fr-FR"/>
        </w:rPr>
        <w:t>Détenus handicapés</w:t>
      </w:r>
    </w:p>
    <w:p w:rsidR="00064AD9" w:rsidRPr="001465A4" w:rsidRDefault="00C46558" w:rsidP="00E67CAD">
      <w:pPr>
        <w:pStyle w:val="ECHRPara"/>
        <w:rPr>
          <w:lang w:val="fr-FR"/>
        </w:rPr>
      </w:pPr>
      <w:r>
        <w:rPr>
          <w:rFonts w:ascii="Times New Roman" w:eastAsia="Times New Roman" w:hAnsi="Times New Roman" w:cs="Times New Roman"/>
          <w:szCs w:val="24"/>
          <w:lang w:val="fr-FR"/>
        </w:rPr>
        <w:fldChar w:fldCharType="begin"/>
      </w:r>
      <w:r>
        <w:rPr>
          <w:rFonts w:ascii="Times New Roman" w:eastAsia="Times New Roman" w:hAnsi="Times New Roman" w:cs="Times New Roman"/>
          <w:szCs w:val="24"/>
          <w:lang w:val="fr-FR"/>
        </w:rPr>
        <w:instrText xml:space="preserve"> SEQ level0 \*arabic </w:instrText>
      </w:r>
      <w:r>
        <w:rPr>
          <w:rFonts w:ascii="Times New Roman" w:eastAsia="Times New Roman" w:hAnsi="Times New Roman" w:cs="Times New Roman"/>
          <w:szCs w:val="24"/>
          <w:lang w:val="fr-FR"/>
        </w:rPr>
        <w:fldChar w:fldCharType="separate"/>
      </w:r>
      <w:r w:rsidR="00746EA9">
        <w:rPr>
          <w:rFonts w:ascii="Times New Roman" w:eastAsia="Times New Roman" w:hAnsi="Times New Roman" w:cs="Times New Roman"/>
          <w:noProof/>
          <w:szCs w:val="24"/>
          <w:lang w:val="fr-FR"/>
        </w:rPr>
        <w:t>49</w:t>
      </w:r>
      <w:r>
        <w:rPr>
          <w:rFonts w:ascii="Times New Roman" w:eastAsia="Times New Roman" w:hAnsi="Times New Roman" w:cs="Times New Roman"/>
          <w:szCs w:val="24"/>
          <w:lang w:val="fr-FR"/>
        </w:rPr>
        <w:fldChar w:fldCharType="end"/>
      </w:r>
      <w:r>
        <w:rPr>
          <w:rFonts w:ascii="Times New Roman" w:eastAsia="Times New Roman" w:hAnsi="Times New Roman" w:cs="Times New Roman"/>
          <w:szCs w:val="24"/>
          <w:lang w:val="fr-FR"/>
        </w:rPr>
        <w:t>.  </w:t>
      </w:r>
      <w:r w:rsidR="00064AD9">
        <w:rPr>
          <w:rFonts w:ascii="Times New Roman" w:eastAsia="Times New Roman" w:hAnsi="Times New Roman" w:cs="Times New Roman"/>
          <w:szCs w:val="24"/>
          <w:lang w:val="fr-FR"/>
        </w:rPr>
        <w:t>Un lourd handicap physique</w:t>
      </w:r>
      <w:r w:rsidR="0011082E">
        <w:rPr>
          <w:rFonts w:ascii="Times New Roman" w:eastAsia="Times New Roman" w:hAnsi="Times New Roman" w:cs="Times New Roman"/>
          <w:szCs w:val="24"/>
          <w:lang w:val="fr-FR"/>
        </w:rPr>
        <w:t xml:space="preserve"> est une situation, </w:t>
      </w:r>
      <w:r w:rsidR="00064AD9">
        <w:rPr>
          <w:rFonts w:ascii="Times New Roman" w:eastAsia="Times New Roman" w:hAnsi="Times New Roman" w:cs="Times New Roman"/>
          <w:szCs w:val="24"/>
          <w:lang w:val="fr-FR"/>
        </w:rPr>
        <w:t>à l</w:t>
      </w:r>
      <w:r w:rsidR="005A6B8A">
        <w:rPr>
          <w:rFonts w:ascii="Times New Roman" w:eastAsia="Times New Roman" w:hAnsi="Times New Roman" w:cs="Times New Roman"/>
          <w:szCs w:val="24"/>
          <w:lang w:val="fr-FR"/>
        </w:rPr>
        <w:t>’</w:t>
      </w:r>
      <w:r w:rsidR="00064AD9">
        <w:rPr>
          <w:rFonts w:ascii="Times New Roman" w:eastAsia="Times New Roman" w:hAnsi="Times New Roman" w:cs="Times New Roman"/>
          <w:szCs w:val="24"/>
          <w:lang w:val="fr-FR"/>
        </w:rPr>
        <w:t>instar de l</w:t>
      </w:r>
      <w:r w:rsidR="005A6B8A">
        <w:rPr>
          <w:rFonts w:ascii="Times New Roman" w:eastAsia="Times New Roman" w:hAnsi="Times New Roman" w:cs="Times New Roman"/>
          <w:szCs w:val="24"/>
          <w:lang w:val="fr-FR"/>
        </w:rPr>
        <w:t>’</w:t>
      </w:r>
      <w:r w:rsidR="00064AD9">
        <w:rPr>
          <w:rFonts w:ascii="Times New Roman" w:eastAsia="Times New Roman" w:hAnsi="Times New Roman" w:cs="Times New Roman"/>
          <w:szCs w:val="24"/>
          <w:lang w:val="fr-FR"/>
        </w:rPr>
        <w:t>état de santé et de l</w:t>
      </w:r>
      <w:r w:rsidR="005A6B8A">
        <w:rPr>
          <w:rFonts w:ascii="Times New Roman" w:eastAsia="Times New Roman" w:hAnsi="Times New Roman" w:cs="Times New Roman"/>
          <w:szCs w:val="24"/>
          <w:lang w:val="fr-FR"/>
        </w:rPr>
        <w:t>’</w:t>
      </w:r>
      <w:r w:rsidR="00064AD9">
        <w:rPr>
          <w:rFonts w:ascii="Times New Roman" w:eastAsia="Times New Roman" w:hAnsi="Times New Roman" w:cs="Times New Roman"/>
          <w:szCs w:val="24"/>
          <w:lang w:val="fr-FR"/>
        </w:rPr>
        <w:t>âge, pour laquelle la question de la capacité à la détention est posée au regard de l</w:t>
      </w:r>
      <w:r w:rsidR="005A6B8A">
        <w:rPr>
          <w:rFonts w:ascii="Times New Roman" w:eastAsia="Times New Roman" w:hAnsi="Times New Roman" w:cs="Times New Roman"/>
          <w:szCs w:val="24"/>
          <w:lang w:val="fr-FR"/>
        </w:rPr>
        <w:t>’</w:t>
      </w:r>
      <w:r w:rsidR="00064AD9">
        <w:rPr>
          <w:rFonts w:ascii="Times New Roman" w:eastAsia="Times New Roman" w:hAnsi="Times New Roman" w:cs="Times New Roman"/>
          <w:szCs w:val="24"/>
          <w:lang w:val="fr-FR"/>
        </w:rPr>
        <w:t>article 3 de la Convention (</w:t>
      </w:r>
      <w:r w:rsidR="00337A7B" w:rsidRPr="00337A7B">
        <w:rPr>
          <w:i/>
          <w:lang w:val="fr-FR"/>
        </w:rPr>
        <w:t>Mouisel c. France</w:t>
      </w:r>
      <w:r w:rsidR="00337A7B" w:rsidRPr="00337A7B">
        <w:rPr>
          <w:lang w:val="fr-FR"/>
        </w:rPr>
        <w:t>, n</w:t>
      </w:r>
      <w:r w:rsidR="00337A7B" w:rsidRPr="00337A7B">
        <w:rPr>
          <w:vertAlign w:val="superscript"/>
          <w:lang w:val="fr-FR"/>
        </w:rPr>
        <w:t>o</w:t>
      </w:r>
      <w:r w:rsidR="003F2565">
        <w:rPr>
          <w:lang w:val="fr-FR"/>
        </w:rPr>
        <w:t> </w:t>
      </w:r>
      <w:r w:rsidR="00337A7B" w:rsidRPr="00337A7B">
        <w:rPr>
          <w:lang w:val="fr-FR"/>
        </w:rPr>
        <w:t xml:space="preserve">67263/01, § </w:t>
      </w:r>
      <w:r w:rsidR="001465A4">
        <w:rPr>
          <w:lang w:val="fr-FR"/>
        </w:rPr>
        <w:t>38</w:t>
      </w:r>
      <w:r w:rsidR="00337A7B" w:rsidRPr="00337A7B">
        <w:rPr>
          <w:lang w:val="fr-FR"/>
        </w:rPr>
        <w:t>, CEDH 2002</w:t>
      </w:r>
      <w:r w:rsidR="00337A7B" w:rsidRPr="00337A7B">
        <w:rPr>
          <w:lang w:val="fr-FR"/>
        </w:rPr>
        <w:noBreakHyphen/>
        <w:t>IX</w:t>
      </w:r>
      <w:r w:rsidR="001465A4">
        <w:rPr>
          <w:lang w:val="fr-FR"/>
        </w:rPr>
        <w:t> </w:t>
      </w:r>
      <w:r w:rsidR="001465A4">
        <w:rPr>
          <w:rFonts w:ascii="Times New Roman" w:eastAsia="Times New Roman" w:hAnsi="Times New Roman" w:cs="Times New Roman"/>
          <w:szCs w:val="24"/>
          <w:lang w:val="fr-FR"/>
        </w:rPr>
        <w:t xml:space="preserve">; </w:t>
      </w:r>
      <w:r w:rsidR="001465A4" w:rsidRPr="001465A4">
        <w:rPr>
          <w:i/>
          <w:lang w:val="fr-FR"/>
        </w:rPr>
        <w:t>Matencio</w:t>
      </w:r>
      <w:r w:rsidR="00ED04F0">
        <w:rPr>
          <w:lang w:val="fr-FR"/>
        </w:rPr>
        <w:t xml:space="preserve">, précité, </w:t>
      </w:r>
      <w:r w:rsidR="001465A4" w:rsidRPr="001465A4">
        <w:rPr>
          <w:lang w:val="fr-FR"/>
        </w:rPr>
        <w:t xml:space="preserve">§ </w:t>
      </w:r>
      <w:r w:rsidR="001465A4">
        <w:rPr>
          <w:lang w:val="fr-FR"/>
        </w:rPr>
        <w:t>76</w:t>
      </w:r>
      <w:r w:rsidR="00064AD9">
        <w:rPr>
          <w:rFonts w:ascii="Times New Roman" w:eastAsia="Times New Roman" w:hAnsi="Times New Roman" w:cs="Times New Roman"/>
          <w:szCs w:val="24"/>
          <w:lang w:val="fr-FR"/>
        </w:rPr>
        <w:t>).</w:t>
      </w:r>
    </w:p>
    <w:p w:rsidR="00067570" w:rsidRDefault="00831E8B" w:rsidP="00A43012">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50</w:t>
      </w:r>
      <w:r>
        <w:rPr>
          <w:lang w:val="fr-FR"/>
        </w:rPr>
        <w:fldChar w:fldCharType="end"/>
      </w:r>
      <w:r>
        <w:rPr>
          <w:lang w:val="fr-FR"/>
        </w:rPr>
        <w:t>.  </w:t>
      </w:r>
      <w:r w:rsidR="00BB2582">
        <w:rPr>
          <w:lang w:val="fr-FR"/>
        </w:rPr>
        <w:t xml:space="preserve">Lorsque les autorités nationales décident de placer ou de maintenir </w:t>
      </w:r>
      <w:r w:rsidR="008E3E30">
        <w:rPr>
          <w:lang w:val="fr-FR"/>
        </w:rPr>
        <w:t xml:space="preserve">en détention </w:t>
      </w:r>
      <w:r w:rsidR="00BB2582">
        <w:rPr>
          <w:lang w:val="fr-FR"/>
        </w:rPr>
        <w:t>une personne invalide, elles doivent veiller avec une rigueur particulière à ce que  les conditions de sa détention répondent aux besoins spécifiques de son infirmité</w:t>
      </w:r>
      <w:r w:rsidR="00337A7B">
        <w:rPr>
          <w:lang w:val="fr-FR"/>
        </w:rPr>
        <w:t xml:space="preserve"> (</w:t>
      </w:r>
      <w:r w:rsidR="00A43012" w:rsidRPr="00A43012">
        <w:rPr>
          <w:i/>
          <w:lang w:val="fr-FR"/>
        </w:rPr>
        <w:t>Price c. Royaume-Uni</w:t>
      </w:r>
      <w:r w:rsidR="00A43012" w:rsidRPr="00A43012">
        <w:rPr>
          <w:lang w:val="fr-FR"/>
        </w:rPr>
        <w:t>, n</w:t>
      </w:r>
      <w:r w:rsidR="00A43012" w:rsidRPr="00A43012">
        <w:rPr>
          <w:vertAlign w:val="superscript"/>
          <w:lang w:val="fr-FR"/>
        </w:rPr>
        <w:t>o</w:t>
      </w:r>
      <w:r w:rsidR="00A43012" w:rsidRPr="00A43012">
        <w:rPr>
          <w:lang w:val="fr-FR"/>
        </w:rPr>
        <w:t xml:space="preserve"> 33394/96, § </w:t>
      </w:r>
      <w:r w:rsidR="00A43012">
        <w:rPr>
          <w:lang w:val="fr-FR"/>
        </w:rPr>
        <w:t>25</w:t>
      </w:r>
      <w:r w:rsidR="00A43012" w:rsidRPr="00A43012">
        <w:rPr>
          <w:lang w:val="fr-FR"/>
        </w:rPr>
        <w:t>, CEDH 2001</w:t>
      </w:r>
      <w:r w:rsidR="00A43012" w:rsidRPr="00A43012">
        <w:rPr>
          <w:lang w:val="fr-FR"/>
        </w:rPr>
        <w:noBreakHyphen/>
        <w:t>VII</w:t>
      </w:r>
      <w:r w:rsidR="00A43012">
        <w:rPr>
          <w:lang w:val="fr-FR"/>
        </w:rPr>
        <w:t xml:space="preserve"> ; </w:t>
      </w:r>
      <w:r w:rsidR="001465A4" w:rsidRPr="00A43012">
        <w:rPr>
          <w:i/>
          <w:lang w:val="fr-FR"/>
        </w:rPr>
        <w:t>Farbtuhs c. Lettonie</w:t>
      </w:r>
      <w:r w:rsidR="001465A4" w:rsidRPr="00A43012">
        <w:rPr>
          <w:lang w:val="fr-FR"/>
        </w:rPr>
        <w:t>, n</w:t>
      </w:r>
      <w:r w:rsidR="001465A4" w:rsidRPr="00A43012">
        <w:rPr>
          <w:vertAlign w:val="superscript"/>
          <w:lang w:val="fr-FR"/>
        </w:rPr>
        <w:t>o</w:t>
      </w:r>
      <w:r w:rsidR="001465A4" w:rsidRPr="00A43012">
        <w:rPr>
          <w:lang w:val="fr-FR"/>
        </w:rPr>
        <w:t xml:space="preserve"> 4672/02, § 56, 2 décembre 2004 ; </w:t>
      </w:r>
      <w:r w:rsidR="00337A7B" w:rsidRPr="00A43012">
        <w:rPr>
          <w:i/>
          <w:lang w:val="fr-FR"/>
        </w:rPr>
        <w:t>Zarzycki c.</w:t>
      </w:r>
      <w:r w:rsidR="003F2565">
        <w:rPr>
          <w:i/>
          <w:szCs w:val="24"/>
          <w:lang w:val="fr-FR"/>
        </w:rPr>
        <w:t> </w:t>
      </w:r>
      <w:r w:rsidR="00337A7B" w:rsidRPr="00A43012">
        <w:rPr>
          <w:i/>
          <w:szCs w:val="24"/>
          <w:lang w:val="fr-FR"/>
        </w:rPr>
        <w:t>Pologne</w:t>
      </w:r>
      <w:r w:rsidR="00337A7B" w:rsidRPr="00A43012">
        <w:rPr>
          <w:szCs w:val="24"/>
          <w:lang w:val="fr-FR"/>
        </w:rPr>
        <w:t>, n</w:t>
      </w:r>
      <w:r w:rsidR="00337A7B" w:rsidRPr="00A43012">
        <w:rPr>
          <w:szCs w:val="24"/>
          <w:vertAlign w:val="superscript"/>
          <w:lang w:val="fr-FR"/>
        </w:rPr>
        <w:t>o</w:t>
      </w:r>
      <w:r w:rsidR="00337A7B" w:rsidRPr="00A43012">
        <w:rPr>
          <w:szCs w:val="24"/>
          <w:lang w:val="fr-FR"/>
        </w:rPr>
        <w:t xml:space="preserve"> 15351/03</w:t>
      </w:r>
      <w:r w:rsidR="00337A7B" w:rsidRPr="00A43012">
        <w:rPr>
          <w:snapToGrid w:val="0"/>
          <w:szCs w:val="24"/>
          <w:lang w:val="fr-FR"/>
        </w:rPr>
        <w:t xml:space="preserve">, § 102, </w:t>
      </w:r>
      <w:r w:rsidR="00337A7B" w:rsidRPr="00A43012">
        <w:rPr>
          <w:szCs w:val="24"/>
          <w:lang w:val="fr-FR"/>
        </w:rPr>
        <w:t>12</w:t>
      </w:r>
      <w:r w:rsidR="00337A7B" w:rsidRPr="00A43012">
        <w:rPr>
          <w:snapToGrid w:val="0"/>
          <w:szCs w:val="24"/>
          <w:lang w:val="fr-FR"/>
        </w:rPr>
        <w:t xml:space="preserve"> </w:t>
      </w:r>
      <w:r w:rsidR="00337A7B" w:rsidRPr="00A43012">
        <w:rPr>
          <w:szCs w:val="24"/>
          <w:lang w:val="fr-FR"/>
        </w:rPr>
        <w:t>mars</w:t>
      </w:r>
      <w:r w:rsidR="00337A7B" w:rsidRPr="00A43012">
        <w:rPr>
          <w:snapToGrid w:val="0"/>
          <w:szCs w:val="24"/>
          <w:lang w:val="fr-FR"/>
        </w:rPr>
        <w:t xml:space="preserve"> 2013</w:t>
      </w:r>
      <w:r w:rsidR="00F04646" w:rsidRPr="00A43012">
        <w:rPr>
          <w:lang w:val="fr-FR"/>
        </w:rPr>
        <w:t>)</w:t>
      </w:r>
      <w:r w:rsidR="00D02FE4" w:rsidRPr="00A43012">
        <w:rPr>
          <w:lang w:val="fr-FR"/>
        </w:rPr>
        <w:t>.</w:t>
      </w:r>
    </w:p>
    <w:p w:rsidR="00067570" w:rsidRDefault="00831E8B" w:rsidP="006D0E74">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51</w:t>
      </w:r>
      <w:r>
        <w:rPr>
          <w:lang w:val="fr-FR"/>
        </w:rPr>
        <w:fldChar w:fldCharType="end"/>
      </w:r>
      <w:r>
        <w:rPr>
          <w:lang w:val="fr-FR"/>
        </w:rPr>
        <w:t>.  </w:t>
      </w:r>
      <w:r w:rsidR="001F3930">
        <w:rPr>
          <w:lang w:val="fr-FR"/>
        </w:rPr>
        <w:t>L</w:t>
      </w:r>
      <w:r w:rsidR="005E1D93" w:rsidRPr="005E1D93">
        <w:rPr>
          <w:lang w:val="fr-FR"/>
        </w:rPr>
        <w:t>a détention d</w:t>
      </w:r>
      <w:r w:rsidR="005A6B8A">
        <w:rPr>
          <w:lang w:val="fr-FR"/>
        </w:rPr>
        <w:t>’</w:t>
      </w:r>
      <w:r w:rsidR="005E1D93" w:rsidRPr="005E1D93">
        <w:rPr>
          <w:lang w:val="fr-FR"/>
        </w:rPr>
        <w:t>une personne handicapée dans un établissement où elle ne peut se déplacer par ses propres moyens</w:t>
      </w:r>
      <w:r w:rsidR="004B0266">
        <w:rPr>
          <w:lang w:val="fr-FR"/>
        </w:rPr>
        <w:t>, et en particulier quitter sa cellule,</w:t>
      </w:r>
      <w:r w:rsidR="005E1D93" w:rsidRPr="005E1D93">
        <w:rPr>
          <w:lang w:val="fr-FR"/>
        </w:rPr>
        <w:t xml:space="preserve"> et qui a duré longtemps, constitue un traitement dégradant prohibé par l</w:t>
      </w:r>
      <w:r w:rsidR="005A6B8A">
        <w:rPr>
          <w:lang w:val="fr-FR"/>
        </w:rPr>
        <w:t>’</w:t>
      </w:r>
      <w:r w:rsidR="005E1D93" w:rsidRPr="005E1D93">
        <w:rPr>
          <w:lang w:val="fr-FR"/>
        </w:rPr>
        <w:t>article 3 de la Convention (</w:t>
      </w:r>
      <w:r w:rsidR="009E2ED8" w:rsidRPr="009E2ED8">
        <w:rPr>
          <w:i/>
          <w:lang w:val="fr-FR"/>
        </w:rPr>
        <w:t>Vincent</w:t>
      </w:r>
      <w:r w:rsidR="009E2ED8" w:rsidRPr="009E2ED8">
        <w:rPr>
          <w:lang w:val="fr-FR"/>
        </w:rPr>
        <w:t>,</w:t>
      </w:r>
      <w:r w:rsidR="00C167BC">
        <w:rPr>
          <w:lang w:val="fr-FR"/>
        </w:rPr>
        <w:t xml:space="preserve"> précité,</w:t>
      </w:r>
      <w:r w:rsidR="009E2ED8" w:rsidRPr="009E2ED8">
        <w:rPr>
          <w:lang w:val="fr-FR"/>
        </w:rPr>
        <w:t xml:space="preserve"> § </w:t>
      </w:r>
      <w:r w:rsidR="00C167BC">
        <w:rPr>
          <w:lang w:val="fr-FR"/>
        </w:rPr>
        <w:t>103</w:t>
      </w:r>
      <w:r w:rsidR="009E2ED8">
        <w:rPr>
          <w:lang w:val="fr-FR"/>
        </w:rPr>
        <w:t xml:space="preserve"> </w:t>
      </w:r>
      <w:r w:rsidR="005E1D93" w:rsidRPr="005E1D93">
        <w:rPr>
          <w:lang w:val="fr-FR"/>
        </w:rPr>
        <w:t xml:space="preserve">; </w:t>
      </w:r>
      <w:r w:rsidR="007E20BE">
        <w:rPr>
          <w:i/>
          <w:lang w:val="fr-FR"/>
        </w:rPr>
        <w:t>Cara-Damiani c. </w:t>
      </w:r>
      <w:r w:rsidR="009E2ED8" w:rsidRPr="009E2ED8">
        <w:rPr>
          <w:i/>
          <w:lang w:val="fr-FR"/>
        </w:rPr>
        <w:t>Italie</w:t>
      </w:r>
      <w:r w:rsidR="009E2ED8" w:rsidRPr="009E2ED8">
        <w:rPr>
          <w:lang w:val="fr-FR"/>
        </w:rPr>
        <w:t>, n</w:t>
      </w:r>
      <w:r w:rsidR="009E2ED8" w:rsidRPr="009E2ED8">
        <w:rPr>
          <w:vertAlign w:val="superscript"/>
          <w:lang w:val="fr-FR"/>
        </w:rPr>
        <w:t>o</w:t>
      </w:r>
      <w:r w:rsidR="009E2ED8" w:rsidRPr="009E2ED8">
        <w:rPr>
          <w:lang w:val="fr-FR"/>
        </w:rPr>
        <w:t xml:space="preserve"> 2447/05</w:t>
      </w:r>
      <w:r w:rsidR="009E2ED8" w:rsidRPr="009E2ED8">
        <w:rPr>
          <w:snapToGrid w:val="0"/>
          <w:szCs w:val="24"/>
          <w:lang w:val="fr-FR"/>
        </w:rPr>
        <w:t>, §</w:t>
      </w:r>
      <w:r w:rsidR="009E2ED8">
        <w:rPr>
          <w:snapToGrid w:val="0"/>
          <w:szCs w:val="24"/>
          <w:lang w:val="fr-FR"/>
        </w:rPr>
        <w:t xml:space="preserve"> 72</w:t>
      </w:r>
      <w:r w:rsidR="009E2ED8" w:rsidRPr="009E2ED8">
        <w:rPr>
          <w:snapToGrid w:val="0"/>
          <w:szCs w:val="24"/>
          <w:lang w:val="fr-FR"/>
        </w:rPr>
        <w:t>, 7 février 2012</w:t>
      </w:r>
      <w:r w:rsidR="005E1D93">
        <w:rPr>
          <w:snapToGrid w:val="0"/>
          <w:szCs w:val="24"/>
          <w:lang w:val="pt-BR"/>
        </w:rPr>
        <w:t>)</w:t>
      </w:r>
      <w:r w:rsidR="005E1D93" w:rsidRPr="005E1D93">
        <w:rPr>
          <w:lang w:val="fr-FR"/>
        </w:rPr>
        <w:t>.</w:t>
      </w:r>
    </w:p>
    <w:p w:rsidR="005E1D93" w:rsidRPr="0011082E" w:rsidRDefault="00831E8B" w:rsidP="0074002D">
      <w:pPr>
        <w:pStyle w:val="ECHRPara"/>
        <w:rPr>
          <w:i/>
          <w:lang w:val="fr-FR"/>
        </w:rPr>
      </w:pPr>
      <w:r w:rsidRPr="008F148F">
        <w:fldChar w:fldCharType="begin"/>
      </w:r>
      <w:r w:rsidRPr="00AA0114">
        <w:rPr>
          <w:lang w:val="fr-FR"/>
        </w:rPr>
        <w:instrText xml:space="preserve"> SEQ level0 \*arabic </w:instrText>
      </w:r>
      <w:r w:rsidRPr="008F148F">
        <w:fldChar w:fldCharType="separate"/>
      </w:r>
      <w:r w:rsidR="00746EA9">
        <w:rPr>
          <w:noProof/>
          <w:lang w:val="fr-FR"/>
        </w:rPr>
        <w:t>52</w:t>
      </w:r>
      <w:r w:rsidRPr="008F148F">
        <w:fldChar w:fldCharType="end"/>
      </w:r>
      <w:r w:rsidRPr="00AA0114">
        <w:rPr>
          <w:lang w:val="fr-FR"/>
        </w:rPr>
        <w:t>.  </w:t>
      </w:r>
      <w:r w:rsidR="007F7604" w:rsidRPr="00AA0114">
        <w:rPr>
          <w:lang w:val="fr-FR"/>
        </w:rPr>
        <w:t>S</w:t>
      </w:r>
      <w:r w:rsidR="005A6B8A">
        <w:rPr>
          <w:lang w:val="fr-FR"/>
        </w:rPr>
        <w:t>’</w:t>
      </w:r>
      <w:r w:rsidR="007F7604" w:rsidRPr="00AA0114">
        <w:rPr>
          <w:lang w:val="fr-FR"/>
        </w:rPr>
        <w:t xml:space="preserve">il est vrai que la Convention ne garantit pas en soi un droit à une assistance sociale, </w:t>
      </w:r>
      <w:r w:rsidR="001F3930" w:rsidRPr="00AA0114">
        <w:rPr>
          <w:lang w:val="fr-FR"/>
        </w:rPr>
        <w:t>l</w:t>
      </w:r>
      <w:r w:rsidR="005A6B8A">
        <w:rPr>
          <w:lang w:val="fr-FR"/>
        </w:rPr>
        <w:t>’</w:t>
      </w:r>
      <w:r w:rsidR="001F3930" w:rsidRPr="00AA0114">
        <w:rPr>
          <w:lang w:val="fr-FR"/>
        </w:rPr>
        <w:t>Etat ne peut s</w:t>
      </w:r>
      <w:r w:rsidR="005A6B8A">
        <w:rPr>
          <w:lang w:val="fr-FR"/>
        </w:rPr>
        <w:t>’</w:t>
      </w:r>
      <w:r w:rsidR="001F3930" w:rsidRPr="00AA0114">
        <w:rPr>
          <w:lang w:val="fr-FR"/>
        </w:rPr>
        <w:t>exonérer de son obligation d</w:t>
      </w:r>
      <w:r w:rsidR="005A6B8A">
        <w:rPr>
          <w:lang w:val="fr-FR"/>
        </w:rPr>
        <w:t>’</w:t>
      </w:r>
      <w:r w:rsidR="001F3930" w:rsidRPr="00AA0114">
        <w:rPr>
          <w:lang w:val="fr-FR"/>
        </w:rPr>
        <w:t>assurer des conditions de détention devant répon</w:t>
      </w:r>
      <w:r w:rsidR="00C55F0E" w:rsidRPr="00AA0114">
        <w:rPr>
          <w:lang w:val="fr-FR"/>
        </w:rPr>
        <w:t>dre</w:t>
      </w:r>
      <w:r w:rsidR="001F3930" w:rsidRPr="00AA0114">
        <w:rPr>
          <w:lang w:val="fr-FR"/>
        </w:rPr>
        <w:t xml:space="preserve"> aux besoins spécifiques des détenus handicapés</w:t>
      </w:r>
      <w:r w:rsidR="00C55F0E" w:rsidRPr="00AA0114">
        <w:rPr>
          <w:lang w:val="fr-FR"/>
        </w:rPr>
        <w:t xml:space="preserve"> en transférant la responsabilité de leur s</w:t>
      </w:r>
      <w:r w:rsidR="00DD02EB" w:rsidRPr="00AA0114">
        <w:rPr>
          <w:lang w:val="fr-FR"/>
        </w:rPr>
        <w:t>urveillance</w:t>
      </w:r>
      <w:r w:rsidR="00C55F0E" w:rsidRPr="00AA0114">
        <w:rPr>
          <w:lang w:val="fr-FR"/>
        </w:rPr>
        <w:t xml:space="preserve"> ou de leur a</w:t>
      </w:r>
      <w:r w:rsidR="001F3930" w:rsidRPr="00AA0114">
        <w:rPr>
          <w:lang w:val="fr-FR"/>
        </w:rPr>
        <w:t xml:space="preserve">ssistance </w:t>
      </w:r>
      <w:r w:rsidR="00C55F0E" w:rsidRPr="00AA0114">
        <w:rPr>
          <w:lang w:val="fr-FR"/>
        </w:rPr>
        <w:t>à</w:t>
      </w:r>
      <w:r w:rsidR="001F3930" w:rsidRPr="00AA0114">
        <w:rPr>
          <w:lang w:val="fr-FR"/>
        </w:rPr>
        <w:t xml:space="preserve"> des codétenus </w:t>
      </w:r>
      <w:r w:rsidR="00C55F0E" w:rsidRPr="00AA0114">
        <w:rPr>
          <w:lang w:val="fr-FR"/>
        </w:rPr>
        <w:t>(</w:t>
      </w:r>
      <w:r w:rsidR="00701114" w:rsidRPr="00AA0114">
        <w:rPr>
          <w:i/>
          <w:lang w:val="fr-FR"/>
        </w:rPr>
        <w:t>Kaprykowski c. Pologne</w:t>
      </w:r>
      <w:r w:rsidR="00701114" w:rsidRPr="00AA0114">
        <w:rPr>
          <w:lang w:val="fr-FR"/>
        </w:rPr>
        <w:t>, n</w:t>
      </w:r>
      <w:r w:rsidR="00067570" w:rsidRPr="00067570">
        <w:rPr>
          <w:vertAlign w:val="superscript"/>
          <w:lang w:val="fr-FR"/>
        </w:rPr>
        <w:t>o</w:t>
      </w:r>
      <w:r w:rsidR="003F2565">
        <w:rPr>
          <w:lang w:val="fr-FR"/>
        </w:rPr>
        <w:t xml:space="preserve"> 23052/05, § 74, 3 </w:t>
      </w:r>
      <w:r w:rsidR="00701114" w:rsidRPr="00AA0114">
        <w:rPr>
          <w:lang w:val="fr-FR"/>
        </w:rPr>
        <w:t xml:space="preserve">février 2009 ; </w:t>
      </w:r>
      <w:r w:rsidR="00C55F0E" w:rsidRPr="008B35C8">
        <w:rPr>
          <w:i/>
          <w:lang w:val="fr-FR"/>
        </w:rPr>
        <w:t>Grimailovs c. Lettonie</w:t>
      </w:r>
      <w:r w:rsidR="00C55F0E" w:rsidRPr="008B35C8">
        <w:rPr>
          <w:lang w:val="fr-FR"/>
        </w:rPr>
        <w:t xml:space="preserve">, </w:t>
      </w:r>
      <w:r w:rsidR="00AA0114">
        <w:rPr>
          <w:lang w:val="fr-FR"/>
        </w:rPr>
        <w:t>n</w:t>
      </w:r>
      <w:r w:rsidR="00067570" w:rsidRPr="00067570">
        <w:rPr>
          <w:vertAlign w:val="superscript"/>
          <w:lang w:val="fr-FR"/>
        </w:rPr>
        <w:t>o</w:t>
      </w:r>
      <w:r w:rsidR="00AA0114">
        <w:rPr>
          <w:lang w:val="fr-FR"/>
        </w:rPr>
        <w:t xml:space="preserve"> </w:t>
      </w:r>
      <w:r w:rsidR="00C55F0E" w:rsidRPr="008B35C8">
        <w:rPr>
          <w:lang w:val="fr-FR"/>
        </w:rPr>
        <w:t>6087/03</w:t>
      </w:r>
      <w:r w:rsidR="00C55F0E" w:rsidRPr="00AA0114">
        <w:rPr>
          <w:lang w:val="fr-FR"/>
        </w:rPr>
        <w:t xml:space="preserve">, § </w:t>
      </w:r>
      <w:r w:rsidR="00701114" w:rsidRPr="00AA0114">
        <w:rPr>
          <w:lang w:val="fr-FR"/>
        </w:rPr>
        <w:t>161</w:t>
      </w:r>
      <w:r w:rsidR="00C55F0E" w:rsidRPr="00AA0114">
        <w:rPr>
          <w:lang w:val="fr-FR"/>
        </w:rPr>
        <w:t>, 25 juin 2013</w:t>
      </w:r>
      <w:r w:rsidR="0074002D">
        <w:rPr>
          <w:lang w:val="fr-FR"/>
        </w:rPr>
        <w:t> ;</w:t>
      </w:r>
      <w:r w:rsidR="0074002D" w:rsidRPr="0074002D">
        <w:rPr>
          <w:i/>
          <w:lang w:val="fr-FR"/>
        </w:rPr>
        <w:t xml:space="preserve"> </w:t>
      </w:r>
      <w:r w:rsidR="00580787" w:rsidRPr="00580787">
        <w:rPr>
          <w:lang w:val="fr-FR"/>
        </w:rPr>
        <w:t>voir enfin</w:t>
      </w:r>
      <w:r w:rsidR="00580787">
        <w:rPr>
          <w:lang w:val="fr-FR"/>
        </w:rPr>
        <w:t>, l</w:t>
      </w:r>
      <w:r w:rsidR="005A6B8A">
        <w:rPr>
          <w:lang w:val="fr-FR"/>
        </w:rPr>
        <w:t>’</w:t>
      </w:r>
      <w:r w:rsidR="00580787">
        <w:rPr>
          <w:lang w:val="fr-FR"/>
        </w:rPr>
        <w:t>arrêt</w:t>
      </w:r>
      <w:r w:rsidR="00580787">
        <w:rPr>
          <w:i/>
          <w:lang w:val="fr-FR"/>
        </w:rPr>
        <w:t xml:space="preserve"> </w:t>
      </w:r>
      <w:r w:rsidR="0074002D" w:rsidRPr="0011082E">
        <w:rPr>
          <w:i/>
          <w:lang w:val="fr-FR"/>
        </w:rPr>
        <w:t>Semikhvostov c. Russie</w:t>
      </w:r>
      <w:r w:rsidR="0074002D" w:rsidRPr="0011082E">
        <w:rPr>
          <w:lang w:val="fr-FR"/>
        </w:rPr>
        <w:t>, n</w:t>
      </w:r>
      <w:r w:rsidR="0074002D" w:rsidRPr="0011082E">
        <w:rPr>
          <w:vertAlign w:val="superscript"/>
          <w:lang w:val="fr-FR"/>
        </w:rPr>
        <w:t>o</w:t>
      </w:r>
      <w:r w:rsidR="0074002D" w:rsidRPr="0011082E">
        <w:rPr>
          <w:lang w:val="fr-FR"/>
        </w:rPr>
        <w:t xml:space="preserve"> 2689/12</w:t>
      </w:r>
      <w:r w:rsidR="0074002D" w:rsidRPr="0011082E">
        <w:rPr>
          <w:snapToGrid w:val="0"/>
          <w:lang w:val="fr-FR"/>
        </w:rPr>
        <w:t xml:space="preserve">, § </w:t>
      </w:r>
      <w:r w:rsidR="0074002D">
        <w:rPr>
          <w:snapToGrid w:val="0"/>
          <w:lang w:val="fr-FR"/>
        </w:rPr>
        <w:t>8</w:t>
      </w:r>
      <w:r w:rsidR="00F30F62">
        <w:rPr>
          <w:snapToGrid w:val="0"/>
          <w:lang w:val="fr-FR"/>
        </w:rPr>
        <w:t>5</w:t>
      </w:r>
      <w:r w:rsidR="0074002D" w:rsidRPr="0011082E">
        <w:rPr>
          <w:snapToGrid w:val="0"/>
          <w:lang w:val="fr-FR"/>
        </w:rPr>
        <w:t xml:space="preserve">, </w:t>
      </w:r>
      <w:r w:rsidR="0074002D" w:rsidRPr="0011082E">
        <w:rPr>
          <w:lang w:val="fr-FR"/>
        </w:rPr>
        <w:t>6</w:t>
      </w:r>
      <w:r w:rsidR="0074002D" w:rsidRPr="0011082E">
        <w:rPr>
          <w:snapToGrid w:val="0"/>
          <w:lang w:val="fr-FR"/>
        </w:rPr>
        <w:t xml:space="preserve"> </w:t>
      </w:r>
      <w:r w:rsidR="0074002D" w:rsidRPr="0011082E">
        <w:rPr>
          <w:lang w:val="fr-FR"/>
        </w:rPr>
        <w:t>février</w:t>
      </w:r>
      <w:r w:rsidR="0074002D" w:rsidRPr="0011082E">
        <w:rPr>
          <w:snapToGrid w:val="0"/>
          <w:lang w:val="fr-FR"/>
        </w:rPr>
        <w:t xml:space="preserve"> 2014</w:t>
      </w:r>
      <w:r w:rsidR="00580787">
        <w:rPr>
          <w:snapToGrid w:val="0"/>
          <w:lang w:val="fr-FR"/>
        </w:rPr>
        <w:t>, dans lequel il est fait mention du risque de stigmatisation des détenus handicapés en cas d</w:t>
      </w:r>
      <w:r w:rsidR="005A6B8A">
        <w:rPr>
          <w:snapToGrid w:val="0"/>
          <w:lang w:val="fr-FR"/>
        </w:rPr>
        <w:t>’</w:t>
      </w:r>
      <w:r w:rsidR="00580787">
        <w:rPr>
          <w:snapToGrid w:val="0"/>
          <w:lang w:val="fr-FR"/>
        </w:rPr>
        <w:t>assistance dans les activités de la vie quotidienne par des codétenus</w:t>
      </w:r>
      <w:r w:rsidR="0074002D">
        <w:rPr>
          <w:snapToGrid w:val="0"/>
          <w:lang w:val="fr-FR"/>
        </w:rPr>
        <w:t>)</w:t>
      </w:r>
      <w:r w:rsidR="00C55F0E" w:rsidRPr="00AA0114">
        <w:rPr>
          <w:lang w:val="fr-FR"/>
        </w:rPr>
        <w:t>. Dans certains cas, dépendre de l</w:t>
      </w:r>
      <w:r w:rsidR="005A6B8A">
        <w:rPr>
          <w:lang w:val="fr-FR"/>
        </w:rPr>
        <w:t>’</w:t>
      </w:r>
      <w:r w:rsidR="00C55F0E" w:rsidRPr="00AA0114">
        <w:rPr>
          <w:lang w:val="fr-FR"/>
        </w:rPr>
        <w:t>aide de codétenus pour aller aux toilettes, se laver, s</w:t>
      </w:r>
      <w:r w:rsidR="005A6B8A">
        <w:rPr>
          <w:lang w:val="fr-FR"/>
        </w:rPr>
        <w:t>’</w:t>
      </w:r>
      <w:r w:rsidR="00C55F0E" w:rsidRPr="00AA0114">
        <w:rPr>
          <w:lang w:val="fr-FR"/>
        </w:rPr>
        <w:t>habiller ou se déshabiller</w:t>
      </w:r>
      <w:r w:rsidR="006A0FEE" w:rsidRPr="00AA0114">
        <w:rPr>
          <w:lang w:val="fr-FR"/>
        </w:rPr>
        <w:t xml:space="preserve"> peut s</w:t>
      </w:r>
      <w:r w:rsidR="005A6B8A">
        <w:rPr>
          <w:lang w:val="fr-FR"/>
        </w:rPr>
        <w:t>’</w:t>
      </w:r>
      <w:r w:rsidR="006A0FEE" w:rsidRPr="00AA0114">
        <w:rPr>
          <w:lang w:val="fr-FR"/>
        </w:rPr>
        <w:t>avérer rabaissant ou humiliant (voir, l</w:t>
      </w:r>
      <w:r w:rsidR="005B412A" w:rsidRPr="00AA0114">
        <w:rPr>
          <w:lang w:val="fr-FR"/>
        </w:rPr>
        <w:t>a</w:t>
      </w:r>
      <w:r w:rsidR="006A0FEE" w:rsidRPr="00AA0114">
        <w:rPr>
          <w:lang w:val="fr-FR"/>
        </w:rPr>
        <w:t xml:space="preserve"> jurisprudence citée</w:t>
      </w:r>
      <w:r w:rsidR="005B412A" w:rsidRPr="00AA0114">
        <w:rPr>
          <w:lang w:val="fr-FR"/>
        </w:rPr>
        <w:t xml:space="preserve"> </w:t>
      </w:r>
      <w:r w:rsidR="006A0FEE" w:rsidRPr="00AA0114">
        <w:rPr>
          <w:lang w:val="fr-FR"/>
        </w:rPr>
        <w:t>dans l</w:t>
      </w:r>
      <w:r w:rsidR="005A6B8A">
        <w:rPr>
          <w:lang w:val="fr-FR"/>
        </w:rPr>
        <w:t>’</w:t>
      </w:r>
      <w:r w:rsidR="006A0FEE" w:rsidRPr="00AA0114">
        <w:rPr>
          <w:lang w:val="fr-FR"/>
        </w:rPr>
        <w:t xml:space="preserve">arrêt </w:t>
      </w:r>
      <w:r w:rsidR="006A0FEE" w:rsidRPr="00AA0114">
        <w:rPr>
          <w:i/>
          <w:lang w:val="fr-FR"/>
        </w:rPr>
        <w:t>Zarzycki</w:t>
      </w:r>
      <w:r w:rsidR="006A0FEE" w:rsidRPr="00AA0114">
        <w:rPr>
          <w:lang w:val="fr-FR"/>
        </w:rPr>
        <w:t>, précité, § 104</w:t>
      </w:r>
      <w:r w:rsidR="006F2ACF" w:rsidRPr="00AA0114">
        <w:rPr>
          <w:lang w:val="fr-FR"/>
        </w:rPr>
        <w:t xml:space="preserve">; </w:t>
      </w:r>
      <w:r w:rsidR="006F2ACF" w:rsidRPr="00AA0114">
        <w:rPr>
          <w:i/>
          <w:lang w:val="fr-FR"/>
        </w:rPr>
        <w:t>D.G. c. Pologne</w:t>
      </w:r>
      <w:r w:rsidR="006F2ACF" w:rsidRPr="00AA0114">
        <w:rPr>
          <w:lang w:val="fr-FR"/>
        </w:rPr>
        <w:t>, n</w:t>
      </w:r>
      <w:r w:rsidR="00067570" w:rsidRPr="00067570">
        <w:rPr>
          <w:vertAlign w:val="superscript"/>
          <w:lang w:val="fr-FR"/>
        </w:rPr>
        <w:t>o</w:t>
      </w:r>
      <w:r w:rsidR="006F2ACF" w:rsidRPr="00AA0114">
        <w:rPr>
          <w:lang w:val="fr-FR"/>
        </w:rPr>
        <w:t xml:space="preserve"> 45705/07, § 147, 12 février 2013</w:t>
      </w:r>
      <w:r w:rsidR="006A0FEE" w:rsidRPr="00AA0114">
        <w:rPr>
          <w:lang w:val="fr-FR"/>
        </w:rPr>
        <w:t>).</w:t>
      </w:r>
      <w:r w:rsidR="0011082E">
        <w:rPr>
          <w:lang w:val="fr-FR"/>
        </w:rPr>
        <w:t xml:space="preserve"> L</w:t>
      </w:r>
      <w:r w:rsidR="005A6B8A">
        <w:rPr>
          <w:lang w:val="fr-FR"/>
        </w:rPr>
        <w:t>’</w:t>
      </w:r>
      <w:r w:rsidR="0011082E">
        <w:rPr>
          <w:lang w:val="fr-FR"/>
        </w:rPr>
        <w:t>accès aux installations sanitaires soulève un problème particulier sous l</w:t>
      </w:r>
      <w:r w:rsidR="005A6B8A">
        <w:rPr>
          <w:lang w:val="fr-FR"/>
        </w:rPr>
        <w:t>’</w:t>
      </w:r>
      <w:r w:rsidR="0011082E">
        <w:rPr>
          <w:lang w:val="fr-FR"/>
        </w:rPr>
        <w:t>angle de l</w:t>
      </w:r>
      <w:r w:rsidR="005A6B8A">
        <w:rPr>
          <w:lang w:val="fr-FR"/>
        </w:rPr>
        <w:t>’</w:t>
      </w:r>
      <w:r w:rsidR="0011082E">
        <w:rPr>
          <w:lang w:val="fr-FR"/>
        </w:rPr>
        <w:t>article 3 de la Convention (</w:t>
      </w:r>
      <w:r w:rsidR="0011082E" w:rsidRPr="0011082E">
        <w:rPr>
          <w:i/>
          <w:lang w:val="fr-FR"/>
        </w:rPr>
        <w:t>D.G</w:t>
      </w:r>
      <w:r w:rsidR="0011082E">
        <w:rPr>
          <w:lang w:val="fr-FR"/>
        </w:rPr>
        <w:t xml:space="preserve">, précité, §§ 147 et 150 ; </w:t>
      </w:r>
      <w:r w:rsidR="0011082E" w:rsidRPr="0011082E">
        <w:rPr>
          <w:i/>
          <w:lang w:val="fr-FR"/>
        </w:rPr>
        <w:t>Semikhvostov</w:t>
      </w:r>
      <w:r w:rsidR="0074002D" w:rsidRPr="0074002D">
        <w:rPr>
          <w:lang w:val="fr-FR"/>
        </w:rPr>
        <w:t>, précité,</w:t>
      </w:r>
      <w:r w:rsidR="0074002D">
        <w:rPr>
          <w:i/>
          <w:lang w:val="fr-FR"/>
        </w:rPr>
        <w:t xml:space="preserve"> </w:t>
      </w:r>
      <w:r w:rsidR="0011082E" w:rsidRPr="0011082E">
        <w:rPr>
          <w:snapToGrid w:val="0"/>
          <w:lang w:val="fr-FR"/>
        </w:rPr>
        <w:t xml:space="preserve">§ </w:t>
      </w:r>
      <w:r w:rsidR="0079359B">
        <w:rPr>
          <w:snapToGrid w:val="0"/>
          <w:lang w:val="fr-FR"/>
        </w:rPr>
        <w:t>81</w:t>
      </w:r>
      <w:r w:rsidR="0074002D">
        <w:rPr>
          <w:snapToGrid w:val="0"/>
          <w:lang w:val="fr-FR"/>
        </w:rPr>
        <w:t>).</w:t>
      </w:r>
    </w:p>
    <w:p w:rsidR="00D520DC" w:rsidRDefault="00EA4DEF" w:rsidP="00D520DC">
      <w:pPr>
        <w:pStyle w:val="ECHRHeading4"/>
        <w:rPr>
          <w:lang w:val="fr-FR"/>
        </w:rPr>
      </w:pPr>
      <w:r>
        <w:rPr>
          <w:lang w:val="fr-FR"/>
        </w:rPr>
        <w:t>b)  </w:t>
      </w:r>
      <w:r w:rsidR="00D520DC">
        <w:rPr>
          <w:lang w:val="fr-FR"/>
        </w:rPr>
        <w:t>Application en l</w:t>
      </w:r>
      <w:r w:rsidR="005A6B8A">
        <w:rPr>
          <w:lang w:val="fr-FR"/>
        </w:rPr>
        <w:t>’</w:t>
      </w:r>
      <w:r w:rsidR="00D520DC">
        <w:rPr>
          <w:lang w:val="fr-FR"/>
        </w:rPr>
        <w:t>espèce</w:t>
      </w:r>
    </w:p>
    <w:p w:rsidR="00067570" w:rsidRDefault="00171208" w:rsidP="00831E8B">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53</w:t>
      </w:r>
      <w:r>
        <w:rPr>
          <w:lang w:val="fr-FR"/>
        </w:rPr>
        <w:fldChar w:fldCharType="end"/>
      </w:r>
      <w:r>
        <w:rPr>
          <w:lang w:val="fr-FR"/>
        </w:rPr>
        <w:t>.</w:t>
      </w:r>
      <w:r w:rsidR="00B134CD">
        <w:rPr>
          <w:lang w:val="fr-FR"/>
        </w:rPr>
        <w:t>  </w:t>
      </w:r>
      <w:r>
        <w:rPr>
          <w:lang w:val="fr-FR"/>
        </w:rPr>
        <w:t>La Cour observe tout d</w:t>
      </w:r>
      <w:r w:rsidR="005A6B8A">
        <w:rPr>
          <w:lang w:val="fr-FR"/>
        </w:rPr>
        <w:t>’</w:t>
      </w:r>
      <w:r>
        <w:rPr>
          <w:lang w:val="fr-FR"/>
        </w:rPr>
        <w:t>abord qu</w:t>
      </w:r>
      <w:r w:rsidR="005A6B8A">
        <w:rPr>
          <w:lang w:val="fr-FR"/>
        </w:rPr>
        <w:t>’</w:t>
      </w:r>
      <w:r>
        <w:rPr>
          <w:lang w:val="fr-FR"/>
        </w:rPr>
        <w:t>il n</w:t>
      </w:r>
      <w:r w:rsidR="005A6B8A">
        <w:rPr>
          <w:lang w:val="fr-FR"/>
        </w:rPr>
        <w:t>’</w:t>
      </w:r>
      <w:r>
        <w:rPr>
          <w:lang w:val="fr-FR"/>
        </w:rPr>
        <w:t>est pas contesté que le requérant présente un handicap qui le contraint à se déplacer principale</w:t>
      </w:r>
      <w:r w:rsidR="00831E8B">
        <w:rPr>
          <w:lang w:val="fr-FR"/>
        </w:rPr>
        <w:t>ment en chaise roulante même s</w:t>
      </w:r>
      <w:r w:rsidR="005A6B8A">
        <w:rPr>
          <w:lang w:val="fr-FR"/>
        </w:rPr>
        <w:t>’</w:t>
      </w:r>
      <w:r w:rsidR="00831E8B">
        <w:rPr>
          <w:lang w:val="fr-FR"/>
        </w:rPr>
        <w:t>il</w:t>
      </w:r>
      <w:r w:rsidR="00A9246A">
        <w:rPr>
          <w:lang w:val="fr-FR"/>
        </w:rPr>
        <w:t xml:space="preserve"> semble qu</w:t>
      </w:r>
      <w:r w:rsidR="005A6B8A">
        <w:rPr>
          <w:lang w:val="fr-FR"/>
        </w:rPr>
        <w:t>’</w:t>
      </w:r>
      <w:r w:rsidR="00A9246A">
        <w:rPr>
          <w:lang w:val="fr-FR"/>
        </w:rPr>
        <w:t>il puisse</w:t>
      </w:r>
      <w:r w:rsidR="00505273">
        <w:rPr>
          <w:lang w:val="fr-FR"/>
        </w:rPr>
        <w:t xml:space="preserve"> parfois</w:t>
      </w:r>
      <w:r w:rsidR="00A9246A">
        <w:rPr>
          <w:lang w:val="fr-FR"/>
        </w:rPr>
        <w:t xml:space="preserve"> se déplacer avec des cannes ou un déambulateur</w:t>
      </w:r>
      <w:r w:rsidR="00952466">
        <w:rPr>
          <w:lang w:val="fr-FR"/>
        </w:rPr>
        <w:t xml:space="preserve"> (paragraphe 10</w:t>
      </w:r>
      <w:r w:rsidR="006F3CCA">
        <w:rPr>
          <w:lang w:val="fr-FR"/>
        </w:rPr>
        <w:t xml:space="preserve"> ci-dessus)</w:t>
      </w:r>
      <w:r w:rsidR="00A9246A">
        <w:rPr>
          <w:lang w:val="fr-FR"/>
        </w:rPr>
        <w:t xml:space="preserve">. </w:t>
      </w:r>
      <w:r w:rsidR="008E3E30">
        <w:rPr>
          <w:lang w:val="fr-FR"/>
        </w:rPr>
        <w:t>Il y a donc lieu</w:t>
      </w:r>
      <w:r w:rsidR="00465FAF">
        <w:rPr>
          <w:lang w:val="fr-FR"/>
        </w:rPr>
        <w:t xml:space="preserve"> </w:t>
      </w:r>
      <w:r w:rsidR="008E3E30">
        <w:rPr>
          <w:lang w:val="fr-FR"/>
        </w:rPr>
        <w:t>d</w:t>
      </w:r>
      <w:r w:rsidR="005A6B8A">
        <w:rPr>
          <w:lang w:val="fr-FR"/>
        </w:rPr>
        <w:t>’</w:t>
      </w:r>
      <w:r w:rsidR="00465FAF">
        <w:rPr>
          <w:lang w:val="fr-FR"/>
        </w:rPr>
        <w:t xml:space="preserve">examiner </w:t>
      </w:r>
      <w:r w:rsidR="00452C6F">
        <w:rPr>
          <w:lang w:val="fr-FR"/>
        </w:rPr>
        <w:t>le grief du requérant à la lumière des principes rappelés ci-dessus</w:t>
      </w:r>
      <w:r w:rsidR="006F3CCA">
        <w:rPr>
          <w:lang w:val="fr-FR"/>
        </w:rPr>
        <w:t>,</w:t>
      </w:r>
      <w:r w:rsidR="00452C6F">
        <w:rPr>
          <w:lang w:val="fr-FR"/>
        </w:rPr>
        <w:t xml:space="preserve"> régissant les obligations de soins de l</w:t>
      </w:r>
      <w:r w:rsidR="005A6B8A">
        <w:rPr>
          <w:lang w:val="fr-FR"/>
        </w:rPr>
        <w:t>’</w:t>
      </w:r>
      <w:r w:rsidR="00452C6F">
        <w:rPr>
          <w:lang w:val="fr-FR"/>
        </w:rPr>
        <w:t>Etat</w:t>
      </w:r>
      <w:r w:rsidR="00965428">
        <w:rPr>
          <w:lang w:val="fr-FR"/>
        </w:rPr>
        <w:t xml:space="preserve"> </w:t>
      </w:r>
      <w:r w:rsidR="00F3271C">
        <w:rPr>
          <w:lang w:val="fr-FR"/>
        </w:rPr>
        <w:t>à l</w:t>
      </w:r>
      <w:r w:rsidR="005A6B8A">
        <w:rPr>
          <w:lang w:val="fr-FR"/>
        </w:rPr>
        <w:t>’</w:t>
      </w:r>
      <w:r w:rsidR="00F3271C">
        <w:rPr>
          <w:lang w:val="fr-FR"/>
        </w:rPr>
        <w:t xml:space="preserve">égard </w:t>
      </w:r>
      <w:r w:rsidR="00452C6F">
        <w:rPr>
          <w:lang w:val="fr-FR"/>
        </w:rPr>
        <w:t>des pers</w:t>
      </w:r>
      <w:r w:rsidR="000E4144">
        <w:rPr>
          <w:lang w:val="fr-FR"/>
        </w:rPr>
        <w:t>onnes handicapées, eu égard à leur vulnérabilité</w:t>
      </w:r>
      <w:r w:rsidR="00452C6F">
        <w:rPr>
          <w:lang w:val="fr-FR"/>
        </w:rPr>
        <w:t xml:space="preserve"> </w:t>
      </w:r>
      <w:r w:rsidR="000E4144">
        <w:rPr>
          <w:lang w:val="fr-FR"/>
        </w:rPr>
        <w:t>face aux difficultés de la détention.</w:t>
      </w:r>
    </w:p>
    <w:p w:rsidR="00965428" w:rsidRDefault="00EA4DEF" w:rsidP="00965428">
      <w:pPr>
        <w:pStyle w:val="ECHRHeading5"/>
        <w:rPr>
          <w:lang w:val="fr-FR"/>
        </w:rPr>
      </w:pPr>
      <w:r>
        <w:rPr>
          <w:lang w:val="fr-FR"/>
        </w:rPr>
        <w:t>i.  </w:t>
      </w:r>
      <w:r w:rsidR="00965428">
        <w:rPr>
          <w:lang w:val="fr-FR"/>
        </w:rPr>
        <w:t>Le maintien en détention</w:t>
      </w:r>
    </w:p>
    <w:p w:rsidR="00067570" w:rsidRDefault="00965428" w:rsidP="00CD286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54</w:t>
      </w:r>
      <w:r>
        <w:rPr>
          <w:lang w:val="fr-FR"/>
        </w:rPr>
        <w:fldChar w:fldCharType="end"/>
      </w:r>
      <w:r>
        <w:rPr>
          <w:lang w:val="fr-FR"/>
        </w:rPr>
        <w:t>. </w:t>
      </w:r>
      <w:r w:rsidR="00964133">
        <w:rPr>
          <w:lang w:val="fr-FR"/>
        </w:rPr>
        <w:t> </w:t>
      </w:r>
      <w:r w:rsidR="003E5B29">
        <w:rPr>
          <w:lang w:val="fr-FR"/>
        </w:rPr>
        <w:t>L</w:t>
      </w:r>
      <w:r w:rsidR="00CD2860">
        <w:rPr>
          <w:lang w:val="fr-FR"/>
        </w:rPr>
        <w:t xml:space="preserve">a Cour rappelle que les </w:t>
      </w:r>
      <w:r w:rsidR="00152082">
        <w:rPr>
          <w:lang w:val="fr-FR"/>
        </w:rPr>
        <w:t xml:space="preserve">experts désignés dans </w:t>
      </w:r>
      <w:r w:rsidR="00D05D29">
        <w:rPr>
          <w:lang w:val="fr-FR"/>
        </w:rPr>
        <w:t>l</w:t>
      </w:r>
      <w:r w:rsidR="00152082">
        <w:rPr>
          <w:lang w:val="fr-FR"/>
        </w:rPr>
        <w:t>e</w:t>
      </w:r>
      <w:r w:rsidR="00D05D29">
        <w:rPr>
          <w:lang w:val="fr-FR"/>
        </w:rPr>
        <w:t xml:space="preserve"> cadre de la demande de suspension de peine</w:t>
      </w:r>
      <w:r w:rsidR="00CD2860">
        <w:rPr>
          <w:lang w:val="fr-FR"/>
        </w:rPr>
        <w:t xml:space="preserve"> ont considéré que l</w:t>
      </w:r>
      <w:r w:rsidR="005A6B8A">
        <w:rPr>
          <w:lang w:val="fr-FR"/>
        </w:rPr>
        <w:t>’</w:t>
      </w:r>
      <w:r w:rsidR="00CD2860">
        <w:rPr>
          <w:lang w:val="fr-FR"/>
        </w:rPr>
        <w:t>état de santé du requérant était compatible avec la détention à condition qu</w:t>
      </w:r>
      <w:r w:rsidR="005A6B8A">
        <w:rPr>
          <w:lang w:val="fr-FR"/>
        </w:rPr>
        <w:t>’</w:t>
      </w:r>
      <w:r w:rsidR="00CD2860">
        <w:rPr>
          <w:lang w:val="fr-FR"/>
        </w:rPr>
        <w:t>il puisse bénéficier des soins de kinésithérapie</w:t>
      </w:r>
      <w:r w:rsidR="00FD132D">
        <w:rPr>
          <w:lang w:val="fr-FR"/>
        </w:rPr>
        <w:t xml:space="preserve"> au quotidien</w:t>
      </w:r>
      <w:r w:rsidR="00CD2860">
        <w:rPr>
          <w:lang w:val="fr-FR"/>
        </w:rPr>
        <w:t>.</w:t>
      </w:r>
      <w:r w:rsidR="00FF4931">
        <w:rPr>
          <w:lang w:val="fr-FR"/>
        </w:rPr>
        <w:t xml:space="preserve"> </w:t>
      </w:r>
      <w:r w:rsidR="00C34391">
        <w:rPr>
          <w:lang w:val="fr-FR"/>
        </w:rPr>
        <w:t>L</w:t>
      </w:r>
      <w:r w:rsidR="005A6B8A">
        <w:rPr>
          <w:lang w:val="fr-FR"/>
        </w:rPr>
        <w:t>’</w:t>
      </w:r>
      <w:r w:rsidR="00C34391">
        <w:rPr>
          <w:lang w:val="fr-FR"/>
        </w:rPr>
        <w:t>un d</w:t>
      </w:r>
      <w:r w:rsidR="005A6B8A">
        <w:rPr>
          <w:lang w:val="fr-FR"/>
        </w:rPr>
        <w:t>’</w:t>
      </w:r>
      <w:r w:rsidR="00C34391">
        <w:rPr>
          <w:lang w:val="fr-FR"/>
        </w:rPr>
        <w:t>eux a</w:t>
      </w:r>
      <w:r w:rsidR="00FF4931">
        <w:rPr>
          <w:lang w:val="fr-FR"/>
        </w:rPr>
        <w:t xml:space="preserve"> précisé </w:t>
      </w:r>
      <w:r w:rsidR="00FD132D">
        <w:rPr>
          <w:lang w:val="fr-FR"/>
        </w:rPr>
        <w:t xml:space="preserve">dans ses conclusions </w:t>
      </w:r>
      <w:r w:rsidR="00FF4931">
        <w:rPr>
          <w:lang w:val="fr-FR"/>
        </w:rPr>
        <w:t>qu</w:t>
      </w:r>
      <w:r w:rsidR="005A6B8A">
        <w:rPr>
          <w:lang w:val="fr-FR"/>
        </w:rPr>
        <w:t>’</w:t>
      </w:r>
      <w:r w:rsidR="00FF4931">
        <w:rPr>
          <w:lang w:val="fr-FR"/>
        </w:rPr>
        <w:t>une prise en charge kinésithérapique n</w:t>
      </w:r>
      <w:r w:rsidR="005A6B8A">
        <w:rPr>
          <w:lang w:val="fr-FR"/>
        </w:rPr>
        <w:t>’</w:t>
      </w:r>
      <w:r w:rsidR="00FF4931">
        <w:rPr>
          <w:lang w:val="fr-FR"/>
        </w:rPr>
        <w:t>était pas possible au centre de détention d</w:t>
      </w:r>
      <w:r w:rsidR="005A6B8A">
        <w:rPr>
          <w:lang w:val="fr-FR"/>
        </w:rPr>
        <w:t>’</w:t>
      </w:r>
      <w:r w:rsidR="00FF4931">
        <w:rPr>
          <w:lang w:val="fr-FR"/>
        </w:rPr>
        <w:t>Uzerche</w:t>
      </w:r>
      <w:r w:rsidR="00981F7C">
        <w:rPr>
          <w:lang w:val="fr-FR"/>
        </w:rPr>
        <w:t xml:space="preserve"> (paragraphe 10</w:t>
      </w:r>
      <w:r w:rsidR="00FD132D">
        <w:rPr>
          <w:lang w:val="fr-FR"/>
        </w:rPr>
        <w:t xml:space="preserve"> ci-dessus)</w:t>
      </w:r>
      <w:r w:rsidR="00C34391">
        <w:rPr>
          <w:lang w:val="fr-FR"/>
        </w:rPr>
        <w:t>.</w:t>
      </w:r>
      <w:r w:rsidR="00FD132D">
        <w:rPr>
          <w:lang w:val="fr-FR"/>
        </w:rPr>
        <w:t xml:space="preserve"> Par la suite, l</w:t>
      </w:r>
      <w:r w:rsidR="00C34391">
        <w:rPr>
          <w:lang w:val="fr-FR"/>
        </w:rPr>
        <w:t>es juridictions d</w:t>
      </w:r>
      <w:r w:rsidR="00FD132D">
        <w:rPr>
          <w:lang w:val="fr-FR"/>
        </w:rPr>
        <w:t>e l</w:t>
      </w:r>
      <w:r w:rsidR="005A6B8A">
        <w:rPr>
          <w:lang w:val="fr-FR"/>
        </w:rPr>
        <w:t>’</w:t>
      </w:r>
      <w:r w:rsidR="00C34391">
        <w:rPr>
          <w:lang w:val="fr-FR"/>
        </w:rPr>
        <w:t>application des peines ont considéré que le requérant ne remplissait pas les conditions lui permettant de bénéficier d</w:t>
      </w:r>
      <w:r w:rsidR="005A6B8A">
        <w:rPr>
          <w:lang w:val="fr-FR"/>
        </w:rPr>
        <w:t>’</w:t>
      </w:r>
      <w:r w:rsidR="00C34391">
        <w:rPr>
          <w:lang w:val="fr-FR"/>
        </w:rPr>
        <w:t>une suspension de peine tout en prenant soin d</w:t>
      </w:r>
      <w:r w:rsidR="005A6B8A">
        <w:rPr>
          <w:lang w:val="fr-FR"/>
        </w:rPr>
        <w:t>’</w:t>
      </w:r>
      <w:r w:rsidR="00C34391">
        <w:rPr>
          <w:lang w:val="fr-FR"/>
        </w:rPr>
        <w:t xml:space="preserve">indiquer </w:t>
      </w:r>
      <w:r w:rsidR="00152082">
        <w:rPr>
          <w:lang w:val="fr-FR"/>
        </w:rPr>
        <w:t xml:space="preserve">que </w:t>
      </w:r>
      <w:r w:rsidR="00FF4931">
        <w:rPr>
          <w:lang w:val="fr-FR"/>
        </w:rPr>
        <w:t xml:space="preserve">le centre de détention dans lequel </w:t>
      </w:r>
      <w:r w:rsidR="006F3CCA">
        <w:rPr>
          <w:lang w:val="fr-FR"/>
        </w:rPr>
        <w:t>il</w:t>
      </w:r>
      <w:r w:rsidR="00FF4931">
        <w:rPr>
          <w:lang w:val="fr-FR"/>
        </w:rPr>
        <w:t xml:space="preserve"> se trouvait n</w:t>
      </w:r>
      <w:r w:rsidR="005A6B8A">
        <w:rPr>
          <w:lang w:val="fr-FR"/>
        </w:rPr>
        <w:t>’</w:t>
      </w:r>
      <w:r w:rsidR="00FF4931">
        <w:rPr>
          <w:lang w:val="fr-FR"/>
        </w:rPr>
        <w:t xml:space="preserve">était pas adapté à sa </w:t>
      </w:r>
      <w:r w:rsidR="00F3271C">
        <w:rPr>
          <w:lang w:val="fr-FR"/>
        </w:rPr>
        <w:t>situation</w:t>
      </w:r>
      <w:r w:rsidR="00FD132D">
        <w:rPr>
          <w:lang w:val="fr-FR"/>
        </w:rPr>
        <w:t>. La Cour de cassation a déclaré le pourvoi du requérant non admis.</w:t>
      </w:r>
    </w:p>
    <w:p w:rsidR="00E664BD" w:rsidRDefault="00FD132D" w:rsidP="00B63FB6">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55</w:t>
      </w:r>
      <w:r>
        <w:rPr>
          <w:lang w:val="fr-FR"/>
        </w:rPr>
        <w:fldChar w:fldCharType="end"/>
      </w:r>
      <w:r>
        <w:rPr>
          <w:lang w:val="fr-FR"/>
        </w:rPr>
        <w:t>.  </w:t>
      </w:r>
      <w:r w:rsidR="00B164F8">
        <w:rPr>
          <w:lang w:val="fr-FR"/>
        </w:rPr>
        <w:t>Au vu de ce qui précède, l</w:t>
      </w:r>
      <w:r>
        <w:rPr>
          <w:lang w:val="fr-FR"/>
        </w:rPr>
        <w:t>a Cour constate qu</w:t>
      </w:r>
      <w:r w:rsidR="005A6B8A">
        <w:rPr>
          <w:lang w:val="fr-FR"/>
        </w:rPr>
        <w:t>’</w:t>
      </w:r>
      <w:r>
        <w:rPr>
          <w:lang w:val="fr-FR"/>
        </w:rPr>
        <w:t>il n</w:t>
      </w:r>
      <w:r w:rsidR="005A6B8A">
        <w:rPr>
          <w:lang w:val="fr-FR"/>
        </w:rPr>
        <w:t>’</w:t>
      </w:r>
      <w:r>
        <w:rPr>
          <w:lang w:val="fr-FR"/>
        </w:rPr>
        <w:t xml:space="preserve">a pas été </w:t>
      </w:r>
      <w:r w:rsidR="008E3E30">
        <w:rPr>
          <w:lang w:val="fr-FR"/>
        </w:rPr>
        <w:t>exclu que</w:t>
      </w:r>
    </w:p>
    <w:p w:rsidR="00814471" w:rsidRPr="00ED04F0" w:rsidRDefault="00FD132D" w:rsidP="0008085A">
      <w:pPr>
        <w:pStyle w:val="ECHRPara"/>
        <w:ind w:firstLine="0"/>
        <w:rPr>
          <w:lang w:val="fr-FR"/>
        </w:rPr>
      </w:pPr>
      <w:r>
        <w:rPr>
          <w:lang w:val="fr-FR"/>
        </w:rPr>
        <w:t>le requérant</w:t>
      </w:r>
      <w:r w:rsidR="00130BF6">
        <w:rPr>
          <w:lang w:val="fr-FR"/>
        </w:rPr>
        <w:t xml:space="preserve"> puisse</w:t>
      </w:r>
      <w:r w:rsidR="00CB7019">
        <w:rPr>
          <w:lang w:val="fr-FR"/>
        </w:rPr>
        <w:t xml:space="preserve"> bénéficier des soins de kinésithérapie en milieu carcéral</w:t>
      </w:r>
      <w:r>
        <w:rPr>
          <w:lang w:val="fr-FR"/>
        </w:rPr>
        <w:t xml:space="preserve"> (voir, </w:t>
      </w:r>
      <w:r w:rsidRPr="00FD132D">
        <w:rPr>
          <w:i/>
          <w:lang w:val="fr-FR"/>
        </w:rPr>
        <w:t>a contrario</w:t>
      </w:r>
      <w:r>
        <w:rPr>
          <w:lang w:val="fr-FR"/>
        </w:rPr>
        <w:t xml:space="preserve">, </w:t>
      </w:r>
      <w:r w:rsidRPr="00FD132D">
        <w:rPr>
          <w:i/>
          <w:lang w:val="fr-FR"/>
        </w:rPr>
        <w:t>Cara-Damiani</w:t>
      </w:r>
      <w:r w:rsidR="00964133">
        <w:rPr>
          <w:lang w:val="fr-FR"/>
        </w:rPr>
        <w:t xml:space="preserve"> précité, § </w:t>
      </w:r>
      <w:r>
        <w:rPr>
          <w:lang w:val="fr-FR"/>
        </w:rPr>
        <w:t>74)</w:t>
      </w:r>
      <w:r w:rsidR="00B164F8">
        <w:rPr>
          <w:lang w:val="fr-FR"/>
        </w:rPr>
        <w:t xml:space="preserve">. La Cour </w:t>
      </w:r>
      <w:r w:rsidR="00130BF6">
        <w:rPr>
          <w:lang w:val="fr-FR"/>
        </w:rPr>
        <w:t>observe qu</w:t>
      </w:r>
      <w:r w:rsidR="005A6B8A">
        <w:rPr>
          <w:lang w:val="fr-FR"/>
        </w:rPr>
        <w:t>’</w:t>
      </w:r>
      <w:r w:rsidR="00130BF6">
        <w:rPr>
          <w:lang w:val="fr-FR"/>
        </w:rPr>
        <w:t>il a été</w:t>
      </w:r>
      <w:r w:rsidR="00420E8D">
        <w:rPr>
          <w:lang w:val="fr-FR"/>
        </w:rPr>
        <w:t xml:space="preserve"> tenu compte </w:t>
      </w:r>
      <w:r w:rsidR="00130BF6">
        <w:rPr>
          <w:lang w:val="fr-FR"/>
        </w:rPr>
        <w:t>du handicap du requérant dans l</w:t>
      </w:r>
      <w:r w:rsidR="005A6B8A">
        <w:rPr>
          <w:lang w:val="fr-FR"/>
        </w:rPr>
        <w:t>’</w:t>
      </w:r>
      <w:r w:rsidR="00130BF6">
        <w:rPr>
          <w:lang w:val="fr-FR"/>
        </w:rPr>
        <w:t>appréciation de</w:t>
      </w:r>
      <w:r w:rsidR="00420E8D">
        <w:rPr>
          <w:lang w:val="fr-FR"/>
        </w:rPr>
        <w:t xml:space="preserve"> sa demande de suspension de peine</w:t>
      </w:r>
      <w:r w:rsidR="00F3271C">
        <w:rPr>
          <w:lang w:val="fr-FR"/>
        </w:rPr>
        <w:t>. En effet, ce</w:t>
      </w:r>
      <w:r w:rsidR="00420E8D">
        <w:rPr>
          <w:lang w:val="fr-FR"/>
        </w:rPr>
        <w:t xml:space="preserve">lle-ci a été refusée </w:t>
      </w:r>
      <w:r w:rsidR="00F3271C">
        <w:rPr>
          <w:lang w:val="fr-FR"/>
        </w:rPr>
        <w:t>sur le fondement de rapports d</w:t>
      </w:r>
      <w:r w:rsidR="005A6B8A">
        <w:rPr>
          <w:lang w:val="fr-FR"/>
        </w:rPr>
        <w:t>’</w:t>
      </w:r>
      <w:r w:rsidR="00F3271C">
        <w:rPr>
          <w:lang w:val="fr-FR"/>
        </w:rPr>
        <w:t>expertise concluant de manière concordante que l</w:t>
      </w:r>
      <w:r w:rsidR="005A6B8A">
        <w:rPr>
          <w:lang w:val="fr-FR"/>
        </w:rPr>
        <w:t>’</w:t>
      </w:r>
      <w:r w:rsidR="00F3271C">
        <w:rPr>
          <w:lang w:val="fr-FR"/>
        </w:rPr>
        <w:t>état de santé du requérant n</w:t>
      </w:r>
      <w:r w:rsidR="005A6B8A">
        <w:rPr>
          <w:lang w:val="fr-FR"/>
        </w:rPr>
        <w:t>’</w:t>
      </w:r>
      <w:r w:rsidR="00F3271C">
        <w:rPr>
          <w:lang w:val="fr-FR"/>
        </w:rPr>
        <w:t xml:space="preserve">était pas durablement incompatible </w:t>
      </w:r>
      <w:r w:rsidR="009A7675">
        <w:rPr>
          <w:lang w:val="fr-FR"/>
        </w:rPr>
        <w:t>avec la détention sous réserve qu</w:t>
      </w:r>
      <w:r w:rsidR="005A6B8A">
        <w:rPr>
          <w:lang w:val="fr-FR"/>
        </w:rPr>
        <w:t>’</w:t>
      </w:r>
      <w:r w:rsidR="009A7675">
        <w:rPr>
          <w:lang w:val="fr-FR"/>
        </w:rPr>
        <w:t>il puisse</w:t>
      </w:r>
      <w:r w:rsidR="001464BF">
        <w:rPr>
          <w:lang w:val="fr-FR"/>
        </w:rPr>
        <w:t xml:space="preserve"> bénéficier des soins </w:t>
      </w:r>
      <w:r w:rsidR="00420E8D">
        <w:rPr>
          <w:lang w:val="fr-FR"/>
        </w:rPr>
        <w:t>kinésithérapi</w:t>
      </w:r>
      <w:r w:rsidR="009A7675">
        <w:rPr>
          <w:lang w:val="fr-FR"/>
        </w:rPr>
        <w:t>qu</w:t>
      </w:r>
      <w:r w:rsidR="00420E8D">
        <w:rPr>
          <w:lang w:val="fr-FR"/>
        </w:rPr>
        <w:t>e</w:t>
      </w:r>
      <w:r w:rsidR="009A7675">
        <w:rPr>
          <w:lang w:val="fr-FR"/>
        </w:rPr>
        <w:t>s et accéder à une salle de sport. En outre, le tribunal a relevé que le centre de détention d</w:t>
      </w:r>
      <w:r w:rsidR="005A6B8A">
        <w:rPr>
          <w:lang w:val="fr-FR"/>
        </w:rPr>
        <w:t>’</w:t>
      </w:r>
      <w:r w:rsidR="009A7675">
        <w:rPr>
          <w:lang w:val="fr-FR"/>
        </w:rPr>
        <w:t>Uzerche ne correspondait manifestement pas aux critères requis pour un régime de détention du requérant, tant sur le plan des locaux que sur celui des soins para médicaux</w:t>
      </w:r>
      <w:r w:rsidR="006F3CCA">
        <w:rPr>
          <w:lang w:val="fr-FR"/>
        </w:rPr>
        <w:t xml:space="preserve"> (paragraphes 1</w:t>
      </w:r>
      <w:r w:rsidR="00981F7C">
        <w:rPr>
          <w:lang w:val="fr-FR"/>
        </w:rPr>
        <w:t>1</w:t>
      </w:r>
      <w:r w:rsidR="006F3CCA">
        <w:rPr>
          <w:lang w:val="fr-FR"/>
        </w:rPr>
        <w:t xml:space="preserve"> et 1</w:t>
      </w:r>
      <w:r w:rsidR="00981F7C">
        <w:rPr>
          <w:lang w:val="fr-FR"/>
        </w:rPr>
        <w:t>3</w:t>
      </w:r>
      <w:r w:rsidR="006F3CCA">
        <w:rPr>
          <w:lang w:val="fr-FR"/>
        </w:rPr>
        <w:t xml:space="preserve"> ci-dessus)</w:t>
      </w:r>
      <w:r w:rsidR="00F5103E">
        <w:rPr>
          <w:lang w:val="fr-FR"/>
        </w:rPr>
        <w:t xml:space="preserve">. </w:t>
      </w:r>
      <w:r w:rsidR="005B4436">
        <w:rPr>
          <w:lang w:val="fr-FR"/>
        </w:rPr>
        <w:t xml:space="preserve">La Cour note à cet égard </w:t>
      </w:r>
      <w:r w:rsidR="00AE2AFE">
        <w:rPr>
          <w:lang w:val="fr-FR"/>
        </w:rPr>
        <w:t xml:space="preserve">les évolutions du droit national </w:t>
      </w:r>
      <w:r w:rsidR="009A7675">
        <w:rPr>
          <w:lang w:val="fr-FR"/>
        </w:rPr>
        <w:t>et de la réflexion d</w:t>
      </w:r>
      <w:r w:rsidR="005A6B8A">
        <w:rPr>
          <w:lang w:val="fr-FR"/>
        </w:rPr>
        <w:t>’</w:t>
      </w:r>
      <w:r w:rsidR="009A7675">
        <w:rPr>
          <w:lang w:val="fr-FR"/>
        </w:rPr>
        <w:t xml:space="preserve">organes officiels </w:t>
      </w:r>
      <w:r w:rsidR="00AE2AFE">
        <w:rPr>
          <w:lang w:val="fr-FR"/>
        </w:rPr>
        <w:t xml:space="preserve">sur la nécessaire prise en compte </w:t>
      </w:r>
      <w:r w:rsidR="00053B36">
        <w:rPr>
          <w:lang w:val="fr-FR"/>
        </w:rPr>
        <w:t xml:space="preserve">du handicap dans les demandes de suspension de peine (paragraphes </w:t>
      </w:r>
      <w:r w:rsidR="00952466">
        <w:rPr>
          <w:lang w:val="fr-FR"/>
        </w:rPr>
        <w:t xml:space="preserve">27, </w:t>
      </w:r>
      <w:r w:rsidR="006F3CCA">
        <w:rPr>
          <w:lang w:val="fr-FR"/>
        </w:rPr>
        <w:t>2</w:t>
      </w:r>
      <w:r w:rsidR="00981F7C">
        <w:rPr>
          <w:lang w:val="fr-FR"/>
        </w:rPr>
        <w:t>8, 29 et 30</w:t>
      </w:r>
      <w:r w:rsidR="00053B36">
        <w:rPr>
          <w:lang w:val="fr-FR"/>
        </w:rPr>
        <w:t xml:space="preserve"> ci-dessus). </w:t>
      </w:r>
      <w:r w:rsidR="009F2339">
        <w:rPr>
          <w:lang w:val="fr-FR"/>
        </w:rPr>
        <w:t xml:space="preserve">Enfin, </w:t>
      </w:r>
      <w:r w:rsidR="00053B36">
        <w:rPr>
          <w:lang w:val="fr-FR"/>
        </w:rPr>
        <w:t xml:space="preserve">elle relève </w:t>
      </w:r>
      <w:r w:rsidR="00CD00F9">
        <w:rPr>
          <w:lang w:val="fr-FR"/>
        </w:rPr>
        <w:t>qu</w:t>
      </w:r>
      <w:r w:rsidR="005A6B8A">
        <w:rPr>
          <w:lang w:val="fr-FR"/>
        </w:rPr>
        <w:t>’</w:t>
      </w:r>
      <w:r w:rsidR="00CD00F9">
        <w:rPr>
          <w:lang w:val="fr-FR"/>
        </w:rPr>
        <w:t>il</w:t>
      </w:r>
      <w:r w:rsidR="00B164F8">
        <w:rPr>
          <w:lang w:val="fr-FR"/>
        </w:rPr>
        <w:t xml:space="preserve"> ne ressort pas du dossier </w:t>
      </w:r>
      <w:r w:rsidR="009F2339">
        <w:rPr>
          <w:lang w:val="fr-FR"/>
        </w:rPr>
        <w:t>q</w:t>
      </w:r>
      <w:r w:rsidR="00B164F8">
        <w:rPr>
          <w:lang w:val="fr-FR"/>
        </w:rPr>
        <w:t>ue</w:t>
      </w:r>
      <w:r w:rsidR="009340F3">
        <w:rPr>
          <w:lang w:val="fr-FR"/>
        </w:rPr>
        <w:t xml:space="preserve"> </w:t>
      </w:r>
      <w:r w:rsidR="009340F3" w:rsidRPr="00ED04F0">
        <w:rPr>
          <w:lang w:val="fr-FR"/>
        </w:rPr>
        <w:t xml:space="preserve">la santé du requérant </w:t>
      </w:r>
      <w:r w:rsidR="00C44C06" w:rsidRPr="00ED04F0">
        <w:rPr>
          <w:lang w:val="fr-FR"/>
        </w:rPr>
        <w:t xml:space="preserve">se </w:t>
      </w:r>
      <w:r w:rsidR="009340F3" w:rsidRPr="00ED04F0">
        <w:rPr>
          <w:lang w:val="fr-FR"/>
        </w:rPr>
        <w:t>soit détériorée durant sa détention</w:t>
      </w:r>
      <w:r w:rsidR="00B164F8" w:rsidRPr="00ED04F0">
        <w:rPr>
          <w:lang w:val="fr-FR"/>
        </w:rPr>
        <w:t xml:space="preserve"> </w:t>
      </w:r>
      <w:r w:rsidR="009340F3" w:rsidRPr="00ED04F0">
        <w:rPr>
          <w:lang w:val="fr-FR"/>
        </w:rPr>
        <w:t>ou que son</w:t>
      </w:r>
      <w:r w:rsidR="009340F3">
        <w:rPr>
          <w:b/>
          <w:lang w:val="fr-FR"/>
        </w:rPr>
        <w:t xml:space="preserve"> </w:t>
      </w:r>
      <w:r w:rsidR="00B164F8">
        <w:rPr>
          <w:lang w:val="fr-FR"/>
        </w:rPr>
        <w:t xml:space="preserve">incapacité </w:t>
      </w:r>
      <w:r w:rsidR="00130BF6">
        <w:rPr>
          <w:lang w:val="fr-FR"/>
        </w:rPr>
        <w:t>se soi</w:t>
      </w:r>
      <w:r w:rsidR="009F2339">
        <w:rPr>
          <w:lang w:val="fr-FR"/>
        </w:rPr>
        <w:t>t aggravée du fait des conditions de détention</w:t>
      </w:r>
      <w:r w:rsidR="005B4436">
        <w:rPr>
          <w:lang w:val="fr-FR"/>
        </w:rPr>
        <w:t>.</w:t>
      </w:r>
      <w:r w:rsidR="00CD00F9">
        <w:rPr>
          <w:lang w:val="fr-FR"/>
        </w:rPr>
        <w:t xml:space="preserve"> A la lumière notamment du rapport de visite </w:t>
      </w:r>
      <w:r w:rsidR="006F3CCA">
        <w:rPr>
          <w:lang w:val="fr-FR"/>
        </w:rPr>
        <w:t>au centre de détention d</w:t>
      </w:r>
      <w:r w:rsidR="005A6B8A">
        <w:rPr>
          <w:lang w:val="fr-FR"/>
        </w:rPr>
        <w:t>’</w:t>
      </w:r>
      <w:r w:rsidR="006F3CCA">
        <w:rPr>
          <w:lang w:val="fr-FR"/>
        </w:rPr>
        <w:t xml:space="preserve">Uzerche </w:t>
      </w:r>
      <w:r w:rsidR="00CD00F9">
        <w:rPr>
          <w:lang w:val="fr-FR"/>
        </w:rPr>
        <w:t>établi par le CGLPL</w:t>
      </w:r>
      <w:r w:rsidR="00AD59FD">
        <w:rPr>
          <w:lang w:val="fr-FR"/>
        </w:rPr>
        <w:t xml:space="preserve"> (paragraphe 3</w:t>
      </w:r>
      <w:r w:rsidR="00545953">
        <w:rPr>
          <w:lang w:val="fr-FR"/>
        </w:rPr>
        <w:t>3</w:t>
      </w:r>
      <w:r w:rsidR="007E20BE">
        <w:rPr>
          <w:lang w:val="fr-FR"/>
        </w:rPr>
        <w:t xml:space="preserve"> ci</w:t>
      </w:r>
      <w:r w:rsidR="007E20BE">
        <w:rPr>
          <w:lang w:val="fr-FR"/>
        </w:rPr>
        <w:noBreakHyphen/>
      </w:r>
      <w:r w:rsidR="00AD59FD">
        <w:rPr>
          <w:lang w:val="fr-FR"/>
        </w:rPr>
        <w:t>dessus)</w:t>
      </w:r>
      <w:r w:rsidR="00CD00F9">
        <w:rPr>
          <w:lang w:val="fr-FR"/>
        </w:rPr>
        <w:t>,</w:t>
      </w:r>
      <w:r w:rsidR="00337A7B">
        <w:rPr>
          <w:lang w:val="fr-FR"/>
        </w:rPr>
        <w:t xml:space="preserve"> </w:t>
      </w:r>
      <w:r w:rsidR="00130BF6">
        <w:rPr>
          <w:lang w:val="fr-FR"/>
        </w:rPr>
        <w:t>qui n</w:t>
      </w:r>
      <w:r w:rsidR="005A6B8A">
        <w:rPr>
          <w:lang w:val="fr-FR"/>
        </w:rPr>
        <w:t>’</w:t>
      </w:r>
      <w:r w:rsidR="00130BF6">
        <w:rPr>
          <w:lang w:val="fr-FR"/>
        </w:rPr>
        <w:t>est pas consacré à la</w:t>
      </w:r>
      <w:r w:rsidR="00DB3CC7">
        <w:rPr>
          <w:lang w:val="fr-FR"/>
        </w:rPr>
        <w:t xml:space="preserve"> situation des personnes handicapées, </w:t>
      </w:r>
      <w:r w:rsidR="00CD00F9">
        <w:rPr>
          <w:lang w:val="fr-FR"/>
        </w:rPr>
        <w:t>il n</w:t>
      </w:r>
      <w:r w:rsidR="005A6B8A">
        <w:rPr>
          <w:lang w:val="fr-FR"/>
        </w:rPr>
        <w:t>’</w:t>
      </w:r>
      <w:r w:rsidR="00CD00F9">
        <w:rPr>
          <w:lang w:val="fr-FR"/>
        </w:rPr>
        <w:t xml:space="preserve">apparaît </w:t>
      </w:r>
      <w:r w:rsidR="00DB3CC7">
        <w:rPr>
          <w:lang w:val="fr-FR"/>
        </w:rPr>
        <w:t xml:space="preserve">pas </w:t>
      </w:r>
      <w:r w:rsidR="00CD00F9">
        <w:rPr>
          <w:lang w:val="fr-FR"/>
        </w:rPr>
        <w:t xml:space="preserve">que </w:t>
      </w:r>
      <w:r w:rsidR="00FD317D">
        <w:rPr>
          <w:lang w:val="fr-FR"/>
        </w:rPr>
        <w:t>ces conditions so</w:t>
      </w:r>
      <w:r w:rsidR="00DB3CC7">
        <w:rPr>
          <w:lang w:val="fr-FR"/>
        </w:rPr>
        <w:t>n</w:t>
      </w:r>
      <w:r w:rsidR="00FD317D">
        <w:rPr>
          <w:lang w:val="fr-FR"/>
        </w:rPr>
        <w:t xml:space="preserve">t </w:t>
      </w:r>
      <w:r w:rsidR="00CB64F7">
        <w:rPr>
          <w:lang w:val="fr-FR"/>
        </w:rPr>
        <w:t>telles qu</w:t>
      </w:r>
      <w:r w:rsidR="005A6B8A">
        <w:rPr>
          <w:lang w:val="fr-FR"/>
        </w:rPr>
        <w:t>’</w:t>
      </w:r>
      <w:r w:rsidR="00CB64F7">
        <w:rPr>
          <w:lang w:val="fr-FR"/>
        </w:rPr>
        <w:t xml:space="preserve">elles </w:t>
      </w:r>
      <w:r w:rsidR="008F148F">
        <w:rPr>
          <w:lang w:val="fr-FR"/>
        </w:rPr>
        <w:t>ont pu rendre</w:t>
      </w:r>
      <w:r w:rsidR="00CD00F9">
        <w:rPr>
          <w:lang w:val="fr-FR"/>
        </w:rPr>
        <w:t xml:space="preserve"> le maintien en détention</w:t>
      </w:r>
      <w:r w:rsidR="00FD317D">
        <w:rPr>
          <w:lang w:val="fr-FR"/>
        </w:rPr>
        <w:t xml:space="preserve"> du requérant incompatible avec l</w:t>
      </w:r>
      <w:r w:rsidR="005A6B8A">
        <w:rPr>
          <w:lang w:val="fr-FR"/>
        </w:rPr>
        <w:t>’</w:t>
      </w:r>
      <w:r w:rsidR="00FD317D">
        <w:rPr>
          <w:lang w:val="fr-FR"/>
        </w:rPr>
        <w:t>article 3 de la Convention.</w:t>
      </w:r>
      <w:r w:rsidR="00FD317D" w:rsidRPr="00814471">
        <w:rPr>
          <w:b/>
          <w:lang w:val="fr-FR"/>
        </w:rPr>
        <w:t xml:space="preserve"> </w:t>
      </w:r>
      <w:r w:rsidR="0008085A" w:rsidRPr="00ED04F0">
        <w:rPr>
          <w:lang w:val="fr-FR"/>
        </w:rPr>
        <w:t xml:space="preserve">De plus, </w:t>
      </w:r>
      <w:r w:rsidR="00814471" w:rsidRPr="00ED04F0">
        <w:rPr>
          <w:lang w:val="fr-FR"/>
        </w:rPr>
        <w:t>si l</w:t>
      </w:r>
      <w:r w:rsidR="005A6B8A">
        <w:rPr>
          <w:lang w:val="fr-FR"/>
        </w:rPr>
        <w:t>’</w:t>
      </w:r>
      <w:r w:rsidR="00814471" w:rsidRPr="00ED04F0">
        <w:rPr>
          <w:lang w:val="fr-FR"/>
        </w:rPr>
        <w:t>état de santé du requérant venait à s</w:t>
      </w:r>
      <w:r w:rsidR="005A6B8A">
        <w:rPr>
          <w:lang w:val="fr-FR"/>
        </w:rPr>
        <w:t>’</w:t>
      </w:r>
      <w:r w:rsidR="00814471" w:rsidRPr="00ED04F0">
        <w:rPr>
          <w:lang w:val="fr-FR"/>
        </w:rPr>
        <w:t>aggraver, le droit français lui offre la possibilité de faire une nouvelle demande de suspension de peine</w:t>
      </w:r>
      <w:r w:rsidR="00C44C06" w:rsidRPr="00ED04F0">
        <w:rPr>
          <w:lang w:val="fr-FR"/>
        </w:rPr>
        <w:t xml:space="preserve"> pour motif médical, mécanisme que le législateur a récemment</w:t>
      </w:r>
      <w:r w:rsidR="003F2FFF">
        <w:rPr>
          <w:lang w:val="fr-FR"/>
        </w:rPr>
        <w:t xml:space="preserve"> assoupli afin d</w:t>
      </w:r>
      <w:r w:rsidR="005A6B8A">
        <w:rPr>
          <w:lang w:val="fr-FR"/>
        </w:rPr>
        <w:t>’</w:t>
      </w:r>
      <w:r w:rsidR="003F2FFF">
        <w:rPr>
          <w:lang w:val="fr-FR"/>
        </w:rPr>
        <w:t>en faciliter l</w:t>
      </w:r>
      <w:r w:rsidR="005A6B8A">
        <w:rPr>
          <w:lang w:val="fr-FR"/>
        </w:rPr>
        <w:t>’</w:t>
      </w:r>
      <w:r w:rsidR="003F2FFF">
        <w:rPr>
          <w:lang w:val="fr-FR"/>
        </w:rPr>
        <w:t>usage</w:t>
      </w:r>
      <w:r w:rsidR="00C44C06" w:rsidRPr="00ED04F0">
        <w:rPr>
          <w:lang w:val="fr-FR"/>
        </w:rPr>
        <w:t xml:space="preserve"> (</w:t>
      </w:r>
      <w:r w:rsidR="00814471" w:rsidRPr="00ED04F0">
        <w:rPr>
          <w:lang w:val="fr-FR"/>
        </w:rPr>
        <w:t>voir paragraphes 2</w:t>
      </w:r>
      <w:r w:rsidR="00545953">
        <w:rPr>
          <w:lang w:val="fr-FR"/>
        </w:rPr>
        <w:t>7</w:t>
      </w:r>
      <w:r w:rsidR="00814471" w:rsidRPr="00ED04F0">
        <w:rPr>
          <w:lang w:val="fr-FR"/>
        </w:rPr>
        <w:t xml:space="preserve"> et 2</w:t>
      </w:r>
      <w:r w:rsidR="00545953">
        <w:rPr>
          <w:lang w:val="fr-FR"/>
        </w:rPr>
        <w:t>8</w:t>
      </w:r>
      <w:r w:rsidR="007E20BE">
        <w:rPr>
          <w:lang w:val="fr-FR"/>
        </w:rPr>
        <w:t xml:space="preserve"> ci</w:t>
      </w:r>
      <w:r w:rsidR="007E20BE">
        <w:rPr>
          <w:lang w:val="fr-FR"/>
        </w:rPr>
        <w:noBreakHyphen/>
      </w:r>
      <w:r w:rsidR="00814471" w:rsidRPr="00ED04F0">
        <w:rPr>
          <w:lang w:val="fr-FR"/>
        </w:rPr>
        <w:t>dessus</w:t>
      </w:r>
      <w:r w:rsidR="009340F3" w:rsidRPr="00ED04F0">
        <w:rPr>
          <w:lang w:val="fr-FR"/>
        </w:rPr>
        <w:t>)</w:t>
      </w:r>
      <w:r w:rsidR="00474553" w:rsidRPr="00ED04F0">
        <w:rPr>
          <w:lang w:val="fr-FR"/>
        </w:rPr>
        <w:t>.</w:t>
      </w:r>
    </w:p>
    <w:p w:rsidR="00067570" w:rsidRDefault="00F5103E" w:rsidP="00130BF6">
      <w:pPr>
        <w:pStyle w:val="ECHRPara"/>
        <w:rPr>
          <w:lang w:val="fr-FR"/>
        </w:rPr>
      </w:pPr>
      <w:r w:rsidRPr="00130BF6">
        <w:rPr>
          <w:lang w:val="fr-FR"/>
        </w:rPr>
        <w:t>Ce n</w:t>
      </w:r>
      <w:r w:rsidR="005A6B8A">
        <w:rPr>
          <w:lang w:val="fr-FR"/>
        </w:rPr>
        <w:t>’</w:t>
      </w:r>
      <w:r w:rsidRPr="00130BF6">
        <w:rPr>
          <w:lang w:val="fr-FR"/>
        </w:rPr>
        <w:t>est donc pas la question de la</w:t>
      </w:r>
      <w:r w:rsidR="007943EA" w:rsidRPr="00130BF6">
        <w:rPr>
          <w:lang w:val="fr-FR"/>
        </w:rPr>
        <w:t xml:space="preserve"> capacité du requérant à purger sa peine</w:t>
      </w:r>
      <w:r w:rsidRPr="00130BF6">
        <w:rPr>
          <w:lang w:val="fr-FR"/>
        </w:rPr>
        <w:t xml:space="preserve"> qu</w:t>
      </w:r>
      <w:r w:rsidR="00130BF6">
        <w:rPr>
          <w:lang w:val="fr-FR"/>
        </w:rPr>
        <w:t xml:space="preserve">e pose la présente affaire mais celle </w:t>
      </w:r>
      <w:r w:rsidR="00EE4B6F" w:rsidRPr="00130BF6">
        <w:rPr>
          <w:lang w:val="fr-FR"/>
        </w:rPr>
        <w:t>de la qualité des soins dispensés</w:t>
      </w:r>
      <w:r w:rsidR="007943EA" w:rsidRPr="00130BF6">
        <w:rPr>
          <w:lang w:val="fr-FR"/>
        </w:rPr>
        <w:t>,</w:t>
      </w:r>
      <w:r w:rsidRPr="00130BF6">
        <w:rPr>
          <w:lang w:val="fr-FR"/>
        </w:rPr>
        <w:t xml:space="preserve"> et</w:t>
      </w:r>
      <w:r w:rsidR="007943EA" w:rsidRPr="00130BF6">
        <w:rPr>
          <w:lang w:val="fr-FR"/>
        </w:rPr>
        <w:t xml:space="preserve"> </w:t>
      </w:r>
      <w:r w:rsidR="00130BF6">
        <w:rPr>
          <w:lang w:val="fr-FR"/>
        </w:rPr>
        <w:t xml:space="preserve">notamment </w:t>
      </w:r>
      <w:r w:rsidR="007943EA" w:rsidRPr="00130BF6">
        <w:rPr>
          <w:lang w:val="fr-FR"/>
        </w:rPr>
        <w:t>celle</w:t>
      </w:r>
      <w:r w:rsidR="00EE4B6F" w:rsidRPr="00130BF6">
        <w:rPr>
          <w:lang w:val="fr-FR"/>
        </w:rPr>
        <w:t xml:space="preserve"> de savoir si les autorités nationales ont fait ce qu</w:t>
      </w:r>
      <w:r w:rsidR="005A6B8A">
        <w:rPr>
          <w:lang w:val="fr-FR"/>
        </w:rPr>
        <w:t>’</w:t>
      </w:r>
      <w:r w:rsidR="00EE4B6F" w:rsidRPr="00130BF6">
        <w:rPr>
          <w:lang w:val="fr-FR"/>
        </w:rPr>
        <w:t>on pouvait raisonnablement exiger d</w:t>
      </w:r>
      <w:r w:rsidR="005A6B8A">
        <w:rPr>
          <w:lang w:val="fr-FR"/>
        </w:rPr>
        <w:t>’</w:t>
      </w:r>
      <w:r w:rsidRPr="00130BF6">
        <w:rPr>
          <w:lang w:val="fr-FR"/>
        </w:rPr>
        <w:t>elles</w:t>
      </w:r>
      <w:r w:rsidR="00817837" w:rsidRPr="00130BF6">
        <w:rPr>
          <w:lang w:val="fr-FR"/>
        </w:rPr>
        <w:t xml:space="preserve"> pour lui prodiguer la rééducation</w:t>
      </w:r>
      <w:r w:rsidR="00053B36" w:rsidRPr="00130BF6">
        <w:rPr>
          <w:lang w:val="fr-FR"/>
        </w:rPr>
        <w:t xml:space="preserve"> dont il avait besoin </w:t>
      </w:r>
      <w:r w:rsidR="00D05D29" w:rsidRPr="00130BF6">
        <w:rPr>
          <w:lang w:val="fr-FR"/>
        </w:rPr>
        <w:t>et lui offrir une chance de voir son état s</w:t>
      </w:r>
      <w:r w:rsidR="005A6B8A">
        <w:rPr>
          <w:lang w:val="fr-FR"/>
        </w:rPr>
        <w:t>’</w:t>
      </w:r>
      <w:r w:rsidR="00D05D29" w:rsidRPr="00130BF6">
        <w:rPr>
          <w:lang w:val="fr-FR"/>
        </w:rPr>
        <w:t>améliorer</w:t>
      </w:r>
      <w:r w:rsidR="00817837" w:rsidRPr="00130BF6">
        <w:rPr>
          <w:lang w:val="fr-FR"/>
        </w:rPr>
        <w:t>.</w:t>
      </w:r>
    </w:p>
    <w:p w:rsidR="00965428" w:rsidRDefault="00964133" w:rsidP="00817837">
      <w:pPr>
        <w:pStyle w:val="ECHRHeading5"/>
        <w:rPr>
          <w:lang w:val="fr-FR"/>
        </w:rPr>
      </w:pPr>
      <w:r>
        <w:rPr>
          <w:lang w:val="fr-FR"/>
        </w:rPr>
        <w:t>ii  </w:t>
      </w:r>
      <w:r w:rsidR="00EE4B6F">
        <w:rPr>
          <w:lang w:val="fr-FR"/>
        </w:rPr>
        <w:t>L</w:t>
      </w:r>
      <w:r w:rsidR="00965428">
        <w:rPr>
          <w:lang w:val="fr-FR"/>
        </w:rPr>
        <w:t>a qualité des soins</w:t>
      </w:r>
    </w:p>
    <w:p w:rsidR="00067570" w:rsidRDefault="00CD2860" w:rsidP="00965428">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56</w:t>
      </w:r>
      <w:r>
        <w:rPr>
          <w:lang w:val="fr-FR"/>
        </w:rPr>
        <w:fldChar w:fldCharType="end"/>
      </w:r>
      <w:r>
        <w:rPr>
          <w:lang w:val="fr-FR"/>
        </w:rPr>
        <w:t>.  </w:t>
      </w:r>
      <w:r w:rsidR="00E453E1">
        <w:rPr>
          <w:lang w:val="fr-FR"/>
        </w:rPr>
        <w:t xml:space="preserve">La Cour observe </w:t>
      </w:r>
      <w:r w:rsidR="00420E8D">
        <w:rPr>
          <w:lang w:val="fr-FR"/>
        </w:rPr>
        <w:t>qu</w:t>
      </w:r>
      <w:r w:rsidR="005A6B8A">
        <w:rPr>
          <w:lang w:val="fr-FR"/>
        </w:rPr>
        <w:t>’</w:t>
      </w:r>
      <w:r w:rsidR="00420E8D">
        <w:rPr>
          <w:lang w:val="fr-FR"/>
        </w:rPr>
        <w:t>il n</w:t>
      </w:r>
      <w:r w:rsidR="005A6B8A">
        <w:rPr>
          <w:lang w:val="fr-FR"/>
        </w:rPr>
        <w:t>’</w:t>
      </w:r>
      <w:r w:rsidR="00420E8D">
        <w:rPr>
          <w:lang w:val="fr-FR"/>
        </w:rPr>
        <w:t xml:space="preserve">y a pas de désaccord entre les parties sur </w:t>
      </w:r>
      <w:r w:rsidR="00817837">
        <w:rPr>
          <w:lang w:val="fr-FR"/>
        </w:rPr>
        <w:t>la diligence et la fréquence des</w:t>
      </w:r>
      <w:r w:rsidR="00420E8D">
        <w:rPr>
          <w:lang w:val="fr-FR"/>
        </w:rPr>
        <w:t xml:space="preserve"> soins médicaux</w:t>
      </w:r>
      <w:r w:rsidR="00817837">
        <w:rPr>
          <w:lang w:val="fr-FR"/>
        </w:rPr>
        <w:t xml:space="preserve"> apportés au</w:t>
      </w:r>
      <w:r w:rsidR="00BF2145">
        <w:rPr>
          <w:lang w:val="fr-FR"/>
        </w:rPr>
        <w:t xml:space="preserve"> requérant</w:t>
      </w:r>
      <w:r w:rsidR="00817837">
        <w:rPr>
          <w:lang w:val="fr-FR"/>
        </w:rPr>
        <w:t xml:space="preserve"> depuis son </w:t>
      </w:r>
      <w:r w:rsidR="00BF2145">
        <w:rPr>
          <w:lang w:val="fr-FR"/>
        </w:rPr>
        <w:t>transfert au centre de détention d</w:t>
      </w:r>
      <w:r w:rsidR="005A6B8A">
        <w:rPr>
          <w:lang w:val="fr-FR"/>
        </w:rPr>
        <w:t>’</w:t>
      </w:r>
      <w:r w:rsidR="00BF2145">
        <w:rPr>
          <w:lang w:val="fr-FR"/>
        </w:rPr>
        <w:t>Uzerche</w:t>
      </w:r>
      <w:r w:rsidR="00413B17">
        <w:rPr>
          <w:lang w:val="fr-FR"/>
        </w:rPr>
        <w:t>, comprenant l</w:t>
      </w:r>
      <w:r w:rsidR="005A6B8A">
        <w:rPr>
          <w:lang w:val="fr-FR"/>
        </w:rPr>
        <w:t>’</w:t>
      </w:r>
      <w:r w:rsidR="00413B17">
        <w:rPr>
          <w:lang w:val="fr-FR"/>
        </w:rPr>
        <w:t>accès à des consultations spécialisées (paragraphe</w:t>
      </w:r>
      <w:r w:rsidR="00AC2982">
        <w:rPr>
          <w:lang w:val="fr-FR"/>
        </w:rPr>
        <w:t>s 1</w:t>
      </w:r>
      <w:r w:rsidR="00545953">
        <w:rPr>
          <w:lang w:val="fr-FR"/>
        </w:rPr>
        <w:t>6</w:t>
      </w:r>
      <w:r w:rsidR="00AC2982">
        <w:rPr>
          <w:lang w:val="fr-FR"/>
        </w:rPr>
        <w:t xml:space="preserve"> et </w:t>
      </w:r>
      <w:r w:rsidR="00545953">
        <w:rPr>
          <w:lang w:val="fr-FR"/>
        </w:rPr>
        <w:t>19</w:t>
      </w:r>
      <w:r w:rsidR="00413B17">
        <w:rPr>
          <w:lang w:val="fr-FR"/>
        </w:rPr>
        <w:t xml:space="preserve"> ci-dessus)</w:t>
      </w:r>
      <w:r w:rsidR="0040444B">
        <w:rPr>
          <w:lang w:val="fr-FR"/>
        </w:rPr>
        <w:t>,</w:t>
      </w:r>
      <w:r w:rsidR="00CB7019">
        <w:rPr>
          <w:lang w:val="fr-FR"/>
        </w:rPr>
        <w:t xml:space="preserve"> y compris</w:t>
      </w:r>
      <w:r w:rsidR="00D05D29">
        <w:rPr>
          <w:lang w:val="fr-FR"/>
        </w:rPr>
        <w:t xml:space="preserve"> sur la fourniture du matériel médical</w:t>
      </w:r>
      <w:r w:rsidR="00152082">
        <w:rPr>
          <w:lang w:val="fr-FR"/>
        </w:rPr>
        <w:t>,</w:t>
      </w:r>
      <w:r w:rsidR="00420E8D">
        <w:rPr>
          <w:lang w:val="fr-FR"/>
        </w:rPr>
        <w:t xml:space="preserve"> à l</w:t>
      </w:r>
      <w:r w:rsidR="005A6B8A">
        <w:rPr>
          <w:lang w:val="fr-FR"/>
        </w:rPr>
        <w:t>’</w:t>
      </w:r>
      <w:r w:rsidR="00420E8D">
        <w:rPr>
          <w:lang w:val="fr-FR"/>
        </w:rPr>
        <w:t xml:space="preserve">exception </w:t>
      </w:r>
      <w:r w:rsidR="0040444B">
        <w:rPr>
          <w:lang w:val="fr-FR"/>
        </w:rPr>
        <w:t>de l</w:t>
      </w:r>
      <w:r w:rsidR="005A6B8A">
        <w:rPr>
          <w:lang w:val="fr-FR"/>
        </w:rPr>
        <w:t>’</w:t>
      </w:r>
      <w:r w:rsidR="0040444B">
        <w:rPr>
          <w:lang w:val="fr-FR"/>
        </w:rPr>
        <w:t xml:space="preserve">appareil </w:t>
      </w:r>
      <w:r w:rsidR="008D3942">
        <w:rPr>
          <w:lang w:val="fr-FR"/>
        </w:rPr>
        <w:t>d</w:t>
      </w:r>
      <w:r w:rsidR="005A6B8A">
        <w:rPr>
          <w:lang w:val="fr-FR"/>
        </w:rPr>
        <w:t>’</w:t>
      </w:r>
      <w:r w:rsidR="0040444B">
        <w:rPr>
          <w:lang w:val="fr-FR"/>
        </w:rPr>
        <w:t>électro stimulation que le requérant</w:t>
      </w:r>
      <w:r w:rsidR="008D3942">
        <w:rPr>
          <w:lang w:val="fr-FR"/>
        </w:rPr>
        <w:t xml:space="preserve"> affirme ne pouvoir</w:t>
      </w:r>
      <w:r w:rsidR="0040444B">
        <w:rPr>
          <w:lang w:val="fr-FR"/>
        </w:rPr>
        <w:t xml:space="preserve"> acquérir en raison du blocage de l</w:t>
      </w:r>
      <w:r w:rsidR="005A6B8A">
        <w:rPr>
          <w:lang w:val="fr-FR"/>
        </w:rPr>
        <w:t>’</w:t>
      </w:r>
      <w:r w:rsidR="0040444B">
        <w:rPr>
          <w:lang w:val="fr-FR"/>
        </w:rPr>
        <w:t>administration</w:t>
      </w:r>
      <w:r w:rsidR="00413B17">
        <w:rPr>
          <w:lang w:val="fr-FR"/>
        </w:rPr>
        <w:t xml:space="preserve">. </w:t>
      </w:r>
      <w:r w:rsidR="00413B17" w:rsidRPr="00ED04F0">
        <w:rPr>
          <w:lang w:val="fr-FR"/>
        </w:rPr>
        <w:t xml:space="preserve">Sur ce </w:t>
      </w:r>
      <w:r w:rsidR="00F04646" w:rsidRPr="00ED04F0">
        <w:rPr>
          <w:lang w:val="fr-FR"/>
        </w:rPr>
        <w:t xml:space="preserve">seul </w:t>
      </w:r>
      <w:r w:rsidR="00413B17" w:rsidRPr="00ED04F0">
        <w:rPr>
          <w:lang w:val="fr-FR"/>
        </w:rPr>
        <w:t xml:space="preserve">point, la Cour ne dispose </w:t>
      </w:r>
      <w:r w:rsidR="00F04646" w:rsidRPr="00ED04F0">
        <w:rPr>
          <w:lang w:val="fr-FR"/>
        </w:rPr>
        <w:t>pas d</w:t>
      </w:r>
      <w:r w:rsidR="005A6B8A">
        <w:rPr>
          <w:lang w:val="fr-FR"/>
        </w:rPr>
        <w:t>’</w:t>
      </w:r>
      <w:r w:rsidR="00413B17" w:rsidRPr="00ED04F0">
        <w:rPr>
          <w:lang w:val="fr-FR"/>
        </w:rPr>
        <w:t>allégation étayée</w:t>
      </w:r>
      <w:r w:rsidR="0073646F" w:rsidRPr="00ED04F0">
        <w:rPr>
          <w:lang w:val="fr-FR"/>
        </w:rPr>
        <w:t xml:space="preserve">, en particulier sur la raison opposée au requérant </w:t>
      </w:r>
      <w:r w:rsidR="00236C02" w:rsidRPr="00ED04F0">
        <w:rPr>
          <w:lang w:val="fr-FR"/>
        </w:rPr>
        <w:t xml:space="preserve">par les autorités compétentes pour </w:t>
      </w:r>
      <w:r w:rsidR="00A76553" w:rsidRPr="00ED04F0">
        <w:rPr>
          <w:lang w:val="fr-FR"/>
        </w:rPr>
        <w:t>refuser qu</w:t>
      </w:r>
      <w:r w:rsidR="005A6B8A">
        <w:rPr>
          <w:lang w:val="fr-FR"/>
        </w:rPr>
        <w:t>’</w:t>
      </w:r>
      <w:r w:rsidR="00A76553" w:rsidRPr="00ED04F0">
        <w:rPr>
          <w:lang w:val="fr-FR"/>
        </w:rPr>
        <w:t>il se procure</w:t>
      </w:r>
      <w:r w:rsidR="00236C02" w:rsidRPr="00ED04F0">
        <w:rPr>
          <w:lang w:val="fr-FR"/>
        </w:rPr>
        <w:t xml:space="preserve"> lui-même cet appareil</w:t>
      </w:r>
      <w:r w:rsidR="00EE3F23" w:rsidRPr="00ED04F0">
        <w:rPr>
          <w:lang w:val="fr-FR"/>
        </w:rPr>
        <w:t>, ce qu</w:t>
      </w:r>
      <w:r w:rsidR="005A6B8A">
        <w:rPr>
          <w:lang w:val="fr-FR"/>
        </w:rPr>
        <w:t>’</w:t>
      </w:r>
      <w:r w:rsidR="00EE3F23" w:rsidRPr="00ED04F0">
        <w:rPr>
          <w:lang w:val="fr-FR"/>
        </w:rPr>
        <w:t>il semb</w:t>
      </w:r>
      <w:r w:rsidR="00545953">
        <w:rPr>
          <w:lang w:val="fr-FR"/>
        </w:rPr>
        <w:t>le pouvoir faire (paragraphes 16</w:t>
      </w:r>
      <w:r w:rsidR="00EE3F23" w:rsidRPr="00ED04F0">
        <w:rPr>
          <w:lang w:val="fr-FR"/>
        </w:rPr>
        <w:t xml:space="preserve"> et 2</w:t>
      </w:r>
      <w:r w:rsidR="00545953">
        <w:rPr>
          <w:lang w:val="fr-FR"/>
        </w:rPr>
        <w:t>2</w:t>
      </w:r>
      <w:r w:rsidR="00EE3F23" w:rsidRPr="00ED04F0">
        <w:rPr>
          <w:lang w:val="fr-FR"/>
        </w:rPr>
        <w:t xml:space="preserve"> ci-dessus)</w:t>
      </w:r>
      <w:r w:rsidR="00046830" w:rsidRPr="00ED04F0">
        <w:rPr>
          <w:lang w:val="fr-FR"/>
        </w:rPr>
        <w:t xml:space="preserve"> e</w:t>
      </w:r>
      <w:r w:rsidR="00EE3F23" w:rsidRPr="00ED04F0">
        <w:rPr>
          <w:lang w:val="fr-FR"/>
        </w:rPr>
        <w:t>n l</w:t>
      </w:r>
      <w:r w:rsidR="005A6B8A">
        <w:rPr>
          <w:lang w:val="fr-FR"/>
        </w:rPr>
        <w:t>’</w:t>
      </w:r>
      <w:r w:rsidR="00EE3F23" w:rsidRPr="00ED04F0">
        <w:rPr>
          <w:lang w:val="fr-FR"/>
        </w:rPr>
        <w:t>absence de doléance de sa part quant à la prise en charge de cet appareil par la Sécurité sociale (</w:t>
      </w:r>
      <w:r w:rsidR="00EE3F23" w:rsidRPr="00ED04F0">
        <w:rPr>
          <w:i/>
          <w:lang w:val="fr-FR"/>
        </w:rPr>
        <w:t>a contrario</w:t>
      </w:r>
      <w:r w:rsidR="00EE3F23" w:rsidRPr="00ED04F0">
        <w:rPr>
          <w:lang w:val="fr-FR"/>
        </w:rPr>
        <w:t xml:space="preserve">, voir, par exemple, </w:t>
      </w:r>
      <w:r w:rsidR="00EE3F23" w:rsidRPr="00ED04F0">
        <w:rPr>
          <w:i/>
          <w:lang w:val="fr-FR"/>
        </w:rPr>
        <w:t>V.D. c. Roumanie</w:t>
      </w:r>
      <w:r w:rsidR="00EE3F23" w:rsidRPr="00ED04F0">
        <w:rPr>
          <w:lang w:val="fr-FR"/>
        </w:rPr>
        <w:t>, n</w:t>
      </w:r>
      <w:r w:rsidR="00EE3F23" w:rsidRPr="00ED04F0">
        <w:rPr>
          <w:vertAlign w:val="superscript"/>
          <w:lang w:val="fr-FR"/>
        </w:rPr>
        <w:t>o</w:t>
      </w:r>
      <w:r w:rsidR="007E20BE">
        <w:rPr>
          <w:lang w:val="fr-FR"/>
        </w:rPr>
        <w:t> </w:t>
      </w:r>
      <w:r w:rsidR="00EE3F23" w:rsidRPr="00ED04F0">
        <w:rPr>
          <w:lang w:val="fr-FR"/>
        </w:rPr>
        <w:t>7078/02</w:t>
      </w:r>
      <w:r w:rsidR="00EE3F23" w:rsidRPr="00ED04F0">
        <w:rPr>
          <w:snapToGrid w:val="0"/>
          <w:lang w:val="fr-FR"/>
        </w:rPr>
        <w:t>, §</w:t>
      </w:r>
      <w:r w:rsidR="00046830" w:rsidRPr="00ED04F0">
        <w:rPr>
          <w:snapToGrid w:val="0"/>
          <w:lang w:val="fr-FR"/>
        </w:rPr>
        <w:t>§ 94 à 96</w:t>
      </w:r>
      <w:r w:rsidR="00EE3F23" w:rsidRPr="00ED04F0">
        <w:rPr>
          <w:snapToGrid w:val="0"/>
          <w:lang w:val="fr-FR"/>
        </w:rPr>
        <w:t>, 1</w:t>
      </w:r>
      <w:r w:rsidR="00EE3F23" w:rsidRPr="00ED04F0">
        <w:rPr>
          <w:lang w:val="fr-FR"/>
        </w:rPr>
        <w:t>6</w:t>
      </w:r>
      <w:r w:rsidR="00EE3F23" w:rsidRPr="00ED04F0">
        <w:rPr>
          <w:snapToGrid w:val="0"/>
          <w:lang w:val="fr-FR"/>
        </w:rPr>
        <w:t xml:space="preserve"> </w:t>
      </w:r>
      <w:r w:rsidR="00EE3F23" w:rsidRPr="00ED04F0">
        <w:rPr>
          <w:lang w:val="fr-FR"/>
        </w:rPr>
        <w:t>février</w:t>
      </w:r>
      <w:r w:rsidR="00EE3F23" w:rsidRPr="00ED04F0">
        <w:rPr>
          <w:snapToGrid w:val="0"/>
          <w:lang w:val="fr-FR"/>
        </w:rPr>
        <w:t xml:space="preserve"> 2010</w:t>
      </w:r>
      <w:r w:rsidR="00046830" w:rsidRPr="00ED04F0">
        <w:rPr>
          <w:snapToGrid w:val="0"/>
          <w:lang w:val="fr-FR"/>
        </w:rPr>
        <w:t>)</w:t>
      </w:r>
      <w:r w:rsidR="00046830" w:rsidRPr="00ED04F0">
        <w:rPr>
          <w:lang w:val="fr-FR"/>
        </w:rPr>
        <w:t xml:space="preserve">. Compte tenu de ces circonstances, la Cour </w:t>
      </w:r>
      <w:r w:rsidR="00EE3F23" w:rsidRPr="00ED04F0">
        <w:rPr>
          <w:lang w:val="fr-FR"/>
        </w:rPr>
        <w:t>n</w:t>
      </w:r>
      <w:r w:rsidR="005A6B8A">
        <w:rPr>
          <w:lang w:val="fr-FR"/>
        </w:rPr>
        <w:t>’</w:t>
      </w:r>
      <w:r w:rsidR="00EE3F23" w:rsidRPr="00ED04F0">
        <w:rPr>
          <w:lang w:val="fr-FR"/>
        </w:rPr>
        <w:t>est pas en mesure de prendre position sur ce point</w:t>
      </w:r>
      <w:r w:rsidR="00046830" w:rsidRPr="00ED04F0">
        <w:rPr>
          <w:lang w:val="fr-FR"/>
        </w:rPr>
        <w:t>.</w:t>
      </w:r>
    </w:p>
    <w:p w:rsidR="00067570" w:rsidRDefault="00F04646" w:rsidP="007C6FDB">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57</w:t>
      </w:r>
      <w:r>
        <w:rPr>
          <w:lang w:val="fr-FR"/>
        </w:rPr>
        <w:fldChar w:fldCharType="end"/>
      </w:r>
      <w:r>
        <w:rPr>
          <w:lang w:val="fr-FR"/>
        </w:rPr>
        <w:t>.  </w:t>
      </w:r>
      <w:r w:rsidR="00967876">
        <w:rPr>
          <w:lang w:val="fr-FR"/>
        </w:rPr>
        <w:t xml:space="preserve">Quant </w:t>
      </w:r>
      <w:r w:rsidR="00AC2982">
        <w:rPr>
          <w:lang w:val="fr-FR"/>
        </w:rPr>
        <w:t>aux</w:t>
      </w:r>
      <w:r w:rsidR="004A2A5E">
        <w:rPr>
          <w:lang w:val="fr-FR"/>
        </w:rPr>
        <w:t xml:space="preserve"> soins de kinésithérapie prescrit</w:t>
      </w:r>
      <w:r>
        <w:rPr>
          <w:lang w:val="fr-FR"/>
        </w:rPr>
        <w:t xml:space="preserve">s par </w:t>
      </w:r>
      <w:r w:rsidR="004A2A5E">
        <w:rPr>
          <w:lang w:val="fr-FR"/>
        </w:rPr>
        <w:t>l</w:t>
      </w:r>
      <w:r w:rsidR="005A6B8A">
        <w:rPr>
          <w:lang w:val="fr-FR"/>
        </w:rPr>
        <w:t>’</w:t>
      </w:r>
      <w:r w:rsidR="004A2A5E">
        <w:rPr>
          <w:lang w:val="fr-FR"/>
        </w:rPr>
        <w:t>ensemble des</w:t>
      </w:r>
      <w:r>
        <w:rPr>
          <w:lang w:val="fr-FR"/>
        </w:rPr>
        <w:t xml:space="preserve"> médecins</w:t>
      </w:r>
      <w:r w:rsidR="004A2A5E">
        <w:rPr>
          <w:lang w:val="fr-FR"/>
        </w:rPr>
        <w:t xml:space="preserve"> ayant</w:t>
      </w:r>
      <w:r w:rsidR="00526787">
        <w:rPr>
          <w:lang w:val="fr-FR"/>
        </w:rPr>
        <w:t xml:space="preserve"> examiné</w:t>
      </w:r>
      <w:r w:rsidR="004A2A5E">
        <w:rPr>
          <w:lang w:val="fr-FR"/>
        </w:rPr>
        <w:t xml:space="preserve"> le requérant, </w:t>
      </w:r>
      <w:r w:rsidR="00967876">
        <w:rPr>
          <w:lang w:val="fr-FR"/>
        </w:rPr>
        <w:t>la Cour observe qu</w:t>
      </w:r>
      <w:r w:rsidR="005A6B8A">
        <w:rPr>
          <w:lang w:val="fr-FR"/>
        </w:rPr>
        <w:t>’</w:t>
      </w:r>
      <w:r w:rsidR="00967876">
        <w:rPr>
          <w:lang w:val="fr-FR"/>
        </w:rPr>
        <w:t xml:space="preserve">ils ont tous préconisé </w:t>
      </w:r>
      <w:r w:rsidR="004645A0">
        <w:rPr>
          <w:lang w:val="fr-FR"/>
        </w:rPr>
        <w:t>une rééducation journalière et</w:t>
      </w:r>
      <w:r w:rsidR="008F271D">
        <w:rPr>
          <w:lang w:val="fr-FR"/>
        </w:rPr>
        <w:t xml:space="preserve"> un accès à une salle de sport</w:t>
      </w:r>
      <w:r w:rsidR="00967876">
        <w:rPr>
          <w:lang w:val="fr-FR"/>
        </w:rPr>
        <w:t>. Or, le requérant n</w:t>
      </w:r>
      <w:r w:rsidR="005A6B8A">
        <w:rPr>
          <w:lang w:val="fr-FR"/>
        </w:rPr>
        <w:t>’</w:t>
      </w:r>
      <w:r w:rsidR="00967876">
        <w:rPr>
          <w:lang w:val="fr-FR"/>
        </w:rPr>
        <w:t>a pu bénéficier d</w:t>
      </w:r>
      <w:r w:rsidR="005A6B8A">
        <w:rPr>
          <w:lang w:val="fr-FR"/>
        </w:rPr>
        <w:t>’</w:t>
      </w:r>
      <w:r w:rsidR="00967876">
        <w:rPr>
          <w:lang w:val="fr-FR"/>
        </w:rPr>
        <w:t xml:space="preserve">aucun soin </w:t>
      </w:r>
      <w:r w:rsidR="00AC2982">
        <w:rPr>
          <w:lang w:val="fr-FR"/>
        </w:rPr>
        <w:t xml:space="preserve">paramédical de ce type </w:t>
      </w:r>
      <w:r w:rsidR="00967876">
        <w:rPr>
          <w:lang w:val="fr-FR"/>
        </w:rPr>
        <w:t>jusqu</w:t>
      </w:r>
      <w:r w:rsidR="005A6B8A">
        <w:rPr>
          <w:lang w:val="fr-FR"/>
        </w:rPr>
        <w:t>’</w:t>
      </w:r>
      <w:r w:rsidR="00967876">
        <w:rPr>
          <w:lang w:val="fr-FR"/>
        </w:rPr>
        <w:t>en septembre 2012, soit pendant plus de trois ans</w:t>
      </w:r>
      <w:r w:rsidR="00AC2982">
        <w:rPr>
          <w:lang w:val="fr-FR"/>
        </w:rPr>
        <w:t xml:space="preserve"> à compter de son incarcération au centre de détention d</w:t>
      </w:r>
      <w:r w:rsidR="005A6B8A">
        <w:rPr>
          <w:lang w:val="fr-FR"/>
        </w:rPr>
        <w:t>’</w:t>
      </w:r>
      <w:r w:rsidR="00AC2982">
        <w:rPr>
          <w:lang w:val="fr-FR"/>
        </w:rPr>
        <w:t>Uzerche</w:t>
      </w:r>
      <w:r w:rsidR="00967876">
        <w:rPr>
          <w:lang w:val="fr-FR"/>
        </w:rPr>
        <w:t>, faute de personnel</w:t>
      </w:r>
      <w:r w:rsidR="00F24E3E">
        <w:rPr>
          <w:lang w:val="fr-FR"/>
        </w:rPr>
        <w:t xml:space="preserve"> qualifié</w:t>
      </w:r>
      <w:r w:rsidR="00967876">
        <w:rPr>
          <w:lang w:val="fr-FR"/>
        </w:rPr>
        <w:t xml:space="preserve"> </w:t>
      </w:r>
      <w:r w:rsidR="00526787">
        <w:rPr>
          <w:lang w:val="fr-FR"/>
        </w:rPr>
        <w:t>au sein de l</w:t>
      </w:r>
      <w:r w:rsidR="005A6B8A">
        <w:rPr>
          <w:lang w:val="fr-FR"/>
        </w:rPr>
        <w:t>’</w:t>
      </w:r>
      <w:r w:rsidR="00526787">
        <w:rPr>
          <w:lang w:val="fr-FR"/>
        </w:rPr>
        <w:t>établissement. En outre, l</w:t>
      </w:r>
      <w:r w:rsidR="005A6B8A">
        <w:rPr>
          <w:lang w:val="fr-FR"/>
        </w:rPr>
        <w:t>’</w:t>
      </w:r>
      <w:r w:rsidR="00526787">
        <w:rPr>
          <w:lang w:val="fr-FR"/>
        </w:rPr>
        <w:t xml:space="preserve">accès </w:t>
      </w:r>
      <w:r w:rsidR="00856176">
        <w:rPr>
          <w:lang w:val="fr-FR"/>
        </w:rPr>
        <w:t>à la</w:t>
      </w:r>
      <w:r w:rsidR="002652A0">
        <w:rPr>
          <w:lang w:val="fr-FR"/>
        </w:rPr>
        <w:t xml:space="preserve"> salle de sport</w:t>
      </w:r>
      <w:r w:rsidR="00526787">
        <w:rPr>
          <w:lang w:val="fr-FR"/>
        </w:rPr>
        <w:t xml:space="preserve"> lui était malaisé</w:t>
      </w:r>
      <w:r w:rsidR="002652A0">
        <w:rPr>
          <w:lang w:val="fr-FR"/>
        </w:rPr>
        <w:t>, celle-ci étant inaccessible en fauteuil roulant</w:t>
      </w:r>
      <w:r w:rsidR="00526787">
        <w:rPr>
          <w:lang w:val="fr-FR"/>
        </w:rPr>
        <w:t xml:space="preserve"> comme le précise le Gouvernement</w:t>
      </w:r>
      <w:r w:rsidR="002652A0">
        <w:rPr>
          <w:lang w:val="fr-FR"/>
        </w:rPr>
        <w:t>. La Cour rappelle que la demande de suspension de peine a été rejetée sous réserve de la délivrance de soins de kinésithérapie appropriés à l</w:t>
      </w:r>
      <w:r w:rsidR="005A6B8A">
        <w:rPr>
          <w:lang w:val="fr-FR"/>
        </w:rPr>
        <w:t>’</w:t>
      </w:r>
      <w:r w:rsidR="002652A0">
        <w:rPr>
          <w:lang w:val="fr-FR"/>
        </w:rPr>
        <w:t>état de santé du requérant, et qu</w:t>
      </w:r>
      <w:r w:rsidR="005A6B8A">
        <w:rPr>
          <w:lang w:val="fr-FR"/>
        </w:rPr>
        <w:t>’</w:t>
      </w:r>
      <w:r w:rsidR="007E20BE">
        <w:rPr>
          <w:lang w:val="fr-FR"/>
        </w:rPr>
        <w:t>il a été précisé à ce moment</w:t>
      </w:r>
      <w:r w:rsidR="007E20BE">
        <w:rPr>
          <w:lang w:val="fr-FR"/>
        </w:rPr>
        <w:noBreakHyphen/>
      </w:r>
      <w:r w:rsidR="002652A0">
        <w:rPr>
          <w:lang w:val="fr-FR"/>
        </w:rPr>
        <w:t xml:space="preserve">là </w:t>
      </w:r>
      <w:r w:rsidR="00485AF2">
        <w:rPr>
          <w:lang w:val="fr-FR"/>
        </w:rPr>
        <w:t xml:space="preserve">par les juridictions nationales </w:t>
      </w:r>
      <w:r w:rsidR="002652A0">
        <w:rPr>
          <w:lang w:val="fr-FR"/>
        </w:rPr>
        <w:t>que ces soins ne pouvaient être prodigués au centre de détention d</w:t>
      </w:r>
      <w:r w:rsidR="005A6B8A">
        <w:rPr>
          <w:lang w:val="fr-FR"/>
        </w:rPr>
        <w:t>’</w:t>
      </w:r>
      <w:r w:rsidR="002652A0">
        <w:rPr>
          <w:lang w:val="fr-FR"/>
        </w:rPr>
        <w:t>Uzerche, mais dans d</w:t>
      </w:r>
      <w:r w:rsidR="005A6B8A">
        <w:rPr>
          <w:lang w:val="fr-FR"/>
        </w:rPr>
        <w:t>’</w:t>
      </w:r>
      <w:r w:rsidR="002652A0">
        <w:rPr>
          <w:lang w:val="fr-FR"/>
        </w:rPr>
        <w:t>autres établissements pénitentiaires</w:t>
      </w:r>
      <w:r w:rsidR="00485AF2">
        <w:rPr>
          <w:lang w:val="fr-FR"/>
        </w:rPr>
        <w:t xml:space="preserve"> (paragraphes 1</w:t>
      </w:r>
      <w:r w:rsidR="00545953">
        <w:rPr>
          <w:lang w:val="fr-FR"/>
        </w:rPr>
        <w:t>1 et 13</w:t>
      </w:r>
      <w:r w:rsidR="00485AF2">
        <w:rPr>
          <w:lang w:val="fr-FR"/>
        </w:rPr>
        <w:t xml:space="preserve"> ci-dessus)</w:t>
      </w:r>
      <w:r w:rsidR="00CB4FBB">
        <w:rPr>
          <w:lang w:val="fr-FR"/>
        </w:rPr>
        <w:t>. Les médecins de l</w:t>
      </w:r>
      <w:r w:rsidR="005A6B8A">
        <w:rPr>
          <w:lang w:val="fr-FR"/>
        </w:rPr>
        <w:t>’</w:t>
      </w:r>
      <w:r w:rsidR="00CB4FBB">
        <w:rPr>
          <w:lang w:val="fr-FR"/>
        </w:rPr>
        <w:t>UCSA</w:t>
      </w:r>
      <w:r w:rsidR="00F24E3E">
        <w:rPr>
          <w:lang w:val="fr-FR"/>
        </w:rPr>
        <w:t xml:space="preserve"> ont souligné que la </w:t>
      </w:r>
      <w:r w:rsidR="00526787">
        <w:rPr>
          <w:lang w:val="fr-FR"/>
        </w:rPr>
        <w:t>rééducation</w:t>
      </w:r>
      <w:r w:rsidR="00F24E3E">
        <w:rPr>
          <w:lang w:val="fr-FR"/>
        </w:rPr>
        <w:t xml:space="preserve"> devait se faire dans un milieu spécialisé</w:t>
      </w:r>
      <w:r w:rsidR="00237271">
        <w:rPr>
          <w:lang w:val="fr-FR"/>
        </w:rPr>
        <w:t xml:space="preserve"> (paragraphe 2</w:t>
      </w:r>
      <w:r w:rsidR="00545953">
        <w:rPr>
          <w:lang w:val="fr-FR"/>
        </w:rPr>
        <w:t>1</w:t>
      </w:r>
      <w:r w:rsidR="00237271">
        <w:rPr>
          <w:lang w:val="fr-FR"/>
        </w:rPr>
        <w:t xml:space="preserve"> ci</w:t>
      </w:r>
      <w:r w:rsidR="00237271">
        <w:rPr>
          <w:lang w:val="fr-FR"/>
        </w:rPr>
        <w:noBreakHyphen/>
      </w:r>
      <w:r w:rsidR="00485AF2">
        <w:rPr>
          <w:lang w:val="fr-FR"/>
        </w:rPr>
        <w:t>dessus)</w:t>
      </w:r>
      <w:r w:rsidR="00F24E3E">
        <w:rPr>
          <w:lang w:val="fr-FR"/>
        </w:rPr>
        <w:t>. L</w:t>
      </w:r>
      <w:r w:rsidR="004D76E3">
        <w:rPr>
          <w:lang w:val="fr-FR"/>
        </w:rPr>
        <w:t xml:space="preserve">a Cour </w:t>
      </w:r>
      <w:r w:rsidR="00BF0DE8">
        <w:rPr>
          <w:lang w:val="fr-FR"/>
        </w:rPr>
        <w:t>n</w:t>
      </w:r>
      <w:r w:rsidR="005A6B8A">
        <w:rPr>
          <w:lang w:val="fr-FR"/>
        </w:rPr>
        <w:t>’</w:t>
      </w:r>
      <w:r w:rsidR="00BF0DE8">
        <w:rPr>
          <w:lang w:val="fr-FR"/>
        </w:rPr>
        <w:t>est pas en mesure d</w:t>
      </w:r>
      <w:r w:rsidR="005A6B8A">
        <w:rPr>
          <w:lang w:val="fr-FR"/>
        </w:rPr>
        <w:t>’</w:t>
      </w:r>
      <w:r w:rsidR="00BF0DE8">
        <w:rPr>
          <w:lang w:val="fr-FR"/>
        </w:rPr>
        <w:t xml:space="preserve">apprécier </w:t>
      </w:r>
      <w:r w:rsidR="00687B45">
        <w:rPr>
          <w:lang w:val="fr-FR"/>
        </w:rPr>
        <w:t>l</w:t>
      </w:r>
      <w:r w:rsidR="005A6B8A">
        <w:rPr>
          <w:lang w:val="fr-FR"/>
        </w:rPr>
        <w:t>’</w:t>
      </w:r>
      <w:r w:rsidR="00687B45">
        <w:rPr>
          <w:lang w:val="fr-FR"/>
        </w:rPr>
        <w:t xml:space="preserve">adéquation ou non du milieu carcéral </w:t>
      </w:r>
      <w:r w:rsidR="0089076C" w:rsidRPr="00ED04F0">
        <w:rPr>
          <w:lang w:val="fr-FR"/>
        </w:rPr>
        <w:t>ordinaire, hors hospitalisation (paragraphe 3</w:t>
      </w:r>
      <w:r w:rsidR="00545953">
        <w:rPr>
          <w:lang w:val="fr-FR"/>
        </w:rPr>
        <w:t>1</w:t>
      </w:r>
      <w:r w:rsidR="0089076C" w:rsidRPr="00ED04F0">
        <w:rPr>
          <w:lang w:val="fr-FR"/>
        </w:rPr>
        <w:t xml:space="preserve"> ci-dessus),</w:t>
      </w:r>
      <w:r w:rsidR="0089076C" w:rsidRPr="0089076C">
        <w:rPr>
          <w:b/>
          <w:lang w:val="fr-FR"/>
        </w:rPr>
        <w:t xml:space="preserve"> </w:t>
      </w:r>
      <w:r w:rsidR="00687B45">
        <w:rPr>
          <w:lang w:val="fr-FR"/>
        </w:rPr>
        <w:t>à la thérapie préconisée</w:t>
      </w:r>
      <w:r w:rsidR="00485AF2">
        <w:rPr>
          <w:lang w:val="fr-FR"/>
        </w:rPr>
        <w:t xml:space="preserve"> mais</w:t>
      </w:r>
      <w:r w:rsidR="004D76E3">
        <w:rPr>
          <w:lang w:val="fr-FR"/>
        </w:rPr>
        <w:t xml:space="preserve"> </w:t>
      </w:r>
      <w:r w:rsidR="00BF0DE8">
        <w:rPr>
          <w:lang w:val="fr-FR"/>
        </w:rPr>
        <w:t>elle se doit de vérifier que des mesures ont été prises</w:t>
      </w:r>
      <w:r w:rsidR="00CA646A">
        <w:rPr>
          <w:lang w:val="fr-FR"/>
        </w:rPr>
        <w:t xml:space="preserve"> par les autorités pénitentiaires</w:t>
      </w:r>
      <w:r w:rsidR="00BF0DE8">
        <w:rPr>
          <w:lang w:val="fr-FR"/>
        </w:rPr>
        <w:t xml:space="preserve"> pour</w:t>
      </w:r>
      <w:r w:rsidR="00CA646A">
        <w:rPr>
          <w:lang w:val="fr-FR"/>
        </w:rPr>
        <w:t xml:space="preserve"> offrir au requérant</w:t>
      </w:r>
      <w:r w:rsidR="00E85C1A">
        <w:rPr>
          <w:lang w:val="fr-FR"/>
        </w:rPr>
        <w:t xml:space="preserve"> </w:t>
      </w:r>
      <w:r w:rsidR="006348B3">
        <w:rPr>
          <w:lang w:val="fr-FR"/>
        </w:rPr>
        <w:t>les s</w:t>
      </w:r>
      <w:r w:rsidR="00CA646A">
        <w:rPr>
          <w:lang w:val="fr-FR"/>
        </w:rPr>
        <w:t>oins prescrit</w:t>
      </w:r>
      <w:r w:rsidR="006348B3">
        <w:rPr>
          <w:lang w:val="fr-FR"/>
        </w:rPr>
        <w:t>s par les médecins.</w:t>
      </w:r>
    </w:p>
    <w:p w:rsidR="00067570" w:rsidRDefault="00020EC0" w:rsidP="007E5882">
      <w:pPr>
        <w:pStyle w:val="ECHRPara"/>
        <w:rPr>
          <w:lang w:val="fr-FR"/>
        </w:rPr>
      </w:pPr>
      <w:r w:rsidRPr="00ED04F0">
        <w:rPr>
          <w:lang w:val="fr-FR"/>
        </w:rPr>
        <w:fldChar w:fldCharType="begin"/>
      </w:r>
      <w:r w:rsidRPr="00ED04F0">
        <w:rPr>
          <w:lang w:val="fr-FR"/>
        </w:rPr>
        <w:instrText xml:space="preserve"> SEQ level0 \*arabic </w:instrText>
      </w:r>
      <w:r w:rsidRPr="00ED04F0">
        <w:rPr>
          <w:lang w:val="fr-FR"/>
        </w:rPr>
        <w:fldChar w:fldCharType="separate"/>
      </w:r>
      <w:r w:rsidR="00746EA9">
        <w:rPr>
          <w:noProof/>
          <w:lang w:val="fr-FR"/>
        </w:rPr>
        <w:t>58</w:t>
      </w:r>
      <w:r w:rsidRPr="00ED04F0">
        <w:rPr>
          <w:lang w:val="fr-FR"/>
        </w:rPr>
        <w:fldChar w:fldCharType="end"/>
      </w:r>
      <w:r w:rsidRPr="00ED04F0">
        <w:rPr>
          <w:lang w:val="fr-FR"/>
        </w:rPr>
        <w:t>.  </w:t>
      </w:r>
      <w:r w:rsidR="004F7E94" w:rsidRPr="00ED04F0">
        <w:rPr>
          <w:lang w:val="fr-FR"/>
        </w:rPr>
        <w:t>À</w:t>
      </w:r>
      <w:r w:rsidR="00E85C1A" w:rsidRPr="00ED04F0">
        <w:rPr>
          <w:lang w:val="fr-FR"/>
        </w:rPr>
        <w:t xml:space="preserve"> cet égard, elle</w:t>
      </w:r>
      <w:r w:rsidR="00742094" w:rsidRPr="00ED04F0">
        <w:rPr>
          <w:lang w:val="fr-FR"/>
        </w:rPr>
        <w:t xml:space="preserve"> rappelle tout d</w:t>
      </w:r>
      <w:r w:rsidR="005A6B8A">
        <w:rPr>
          <w:lang w:val="fr-FR"/>
        </w:rPr>
        <w:t>’</w:t>
      </w:r>
      <w:r w:rsidR="00742094" w:rsidRPr="00ED04F0">
        <w:rPr>
          <w:lang w:val="fr-FR"/>
        </w:rPr>
        <w:t>abord qu</w:t>
      </w:r>
      <w:r w:rsidR="005A6B8A">
        <w:rPr>
          <w:lang w:val="fr-FR"/>
        </w:rPr>
        <w:t>’</w:t>
      </w:r>
      <w:r w:rsidR="00742094" w:rsidRPr="00ED04F0">
        <w:rPr>
          <w:lang w:val="fr-FR"/>
        </w:rPr>
        <w:t>aucun kinésithérapeute n</w:t>
      </w:r>
      <w:r w:rsidR="005A6B8A">
        <w:rPr>
          <w:lang w:val="fr-FR"/>
        </w:rPr>
        <w:t>’</w:t>
      </w:r>
      <w:r w:rsidR="00742094" w:rsidRPr="00ED04F0">
        <w:rPr>
          <w:lang w:val="fr-FR"/>
        </w:rPr>
        <w:t xml:space="preserve">est intervenu au </w:t>
      </w:r>
      <w:r w:rsidR="00D95F60" w:rsidRPr="00ED04F0">
        <w:rPr>
          <w:lang w:val="fr-FR"/>
        </w:rPr>
        <w:t xml:space="preserve">sein du </w:t>
      </w:r>
      <w:r w:rsidR="00742094" w:rsidRPr="00ED04F0">
        <w:rPr>
          <w:lang w:val="fr-FR"/>
        </w:rPr>
        <w:t>centre de détention d</w:t>
      </w:r>
      <w:r w:rsidR="005A6B8A">
        <w:rPr>
          <w:lang w:val="fr-FR"/>
        </w:rPr>
        <w:t>’</w:t>
      </w:r>
      <w:r w:rsidR="00742094" w:rsidRPr="00ED04F0">
        <w:rPr>
          <w:lang w:val="fr-FR"/>
        </w:rPr>
        <w:t xml:space="preserve">Uzerche de 2009 à septembre 2012. </w:t>
      </w:r>
      <w:r w:rsidR="007E5882" w:rsidRPr="00ED04F0">
        <w:rPr>
          <w:lang w:val="fr-FR"/>
        </w:rPr>
        <w:t>I</w:t>
      </w:r>
      <w:r w:rsidR="00D95F60" w:rsidRPr="00ED04F0">
        <w:rPr>
          <w:lang w:val="fr-FR"/>
        </w:rPr>
        <w:t>l ressort des informations données par le Gouvernement que</w:t>
      </w:r>
      <w:r w:rsidR="00742094" w:rsidRPr="00ED04F0">
        <w:rPr>
          <w:rFonts w:eastAsia="Times New Roman"/>
          <w:lang w:val="fr-FR"/>
        </w:rPr>
        <w:t xml:space="preserve"> la directrice interrégionale </w:t>
      </w:r>
      <w:r w:rsidR="00D95F60" w:rsidRPr="00ED04F0">
        <w:rPr>
          <w:rFonts w:eastAsia="Times New Roman"/>
          <w:lang w:val="fr-FR"/>
        </w:rPr>
        <w:t>de l</w:t>
      </w:r>
      <w:r w:rsidR="005A6B8A">
        <w:rPr>
          <w:rFonts w:eastAsia="Times New Roman"/>
          <w:lang w:val="fr-FR"/>
        </w:rPr>
        <w:t>’</w:t>
      </w:r>
      <w:r w:rsidR="00D95F60" w:rsidRPr="00ED04F0">
        <w:rPr>
          <w:rFonts w:eastAsia="Times New Roman"/>
          <w:lang w:val="fr-FR"/>
        </w:rPr>
        <w:t xml:space="preserve">administration pénitentiaire </w:t>
      </w:r>
      <w:r w:rsidR="00742094" w:rsidRPr="00ED04F0">
        <w:rPr>
          <w:rFonts w:eastAsia="Times New Roman"/>
          <w:lang w:val="fr-FR"/>
        </w:rPr>
        <w:t xml:space="preserve">a alerté à plusieurs reprises les autorités </w:t>
      </w:r>
      <w:r w:rsidR="007E5882" w:rsidRPr="00ED04F0">
        <w:rPr>
          <w:rFonts w:eastAsia="Times New Roman"/>
          <w:lang w:val="fr-FR"/>
        </w:rPr>
        <w:t xml:space="preserve">de santé </w:t>
      </w:r>
      <w:r w:rsidR="00742094" w:rsidRPr="00ED04F0">
        <w:rPr>
          <w:rFonts w:eastAsia="Times New Roman"/>
          <w:lang w:val="fr-FR"/>
        </w:rPr>
        <w:t>compétentes pour qu</w:t>
      </w:r>
      <w:r w:rsidR="005A6B8A">
        <w:rPr>
          <w:rFonts w:eastAsia="Times New Roman"/>
          <w:lang w:val="fr-FR"/>
        </w:rPr>
        <w:t>’</w:t>
      </w:r>
      <w:r w:rsidR="00742094" w:rsidRPr="00ED04F0">
        <w:rPr>
          <w:rFonts w:eastAsia="Times New Roman"/>
          <w:lang w:val="fr-FR"/>
        </w:rPr>
        <w:t>elles mettent fin à la carence des so</w:t>
      </w:r>
      <w:r w:rsidR="00D95F60" w:rsidRPr="00ED04F0">
        <w:rPr>
          <w:rFonts w:eastAsia="Times New Roman"/>
          <w:lang w:val="fr-FR"/>
        </w:rPr>
        <w:t>ins de kinésithérapie au sein de ce</w:t>
      </w:r>
      <w:r w:rsidR="007E20BE">
        <w:rPr>
          <w:rFonts w:eastAsia="Times New Roman"/>
          <w:lang w:val="fr-FR"/>
        </w:rPr>
        <w:t xml:space="preserve"> centre (paragraphe </w:t>
      </w:r>
      <w:r w:rsidR="00545953">
        <w:rPr>
          <w:rFonts w:eastAsia="Times New Roman"/>
          <w:lang w:val="fr-FR"/>
        </w:rPr>
        <w:t>17</w:t>
      </w:r>
      <w:r w:rsidR="00742094" w:rsidRPr="00ED04F0">
        <w:rPr>
          <w:rFonts w:eastAsia="Times New Roman"/>
          <w:lang w:val="fr-FR"/>
        </w:rPr>
        <w:t xml:space="preserve"> ci-dessus),</w:t>
      </w:r>
      <w:r w:rsidR="007E5882" w:rsidRPr="00ED04F0">
        <w:rPr>
          <w:rFonts w:eastAsia="Times New Roman"/>
          <w:lang w:val="fr-FR"/>
        </w:rPr>
        <w:t xml:space="preserve"> mais</w:t>
      </w:r>
      <w:r w:rsidR="00742094" w:rsidRPr="00ED04F0">
        <w:rPr>
          <w:rFonts w:eastAsia="Times New Roman"/>
          <w:lang w:val="fr-FR"/>
        </w:rPr>
        <w:t xml:space="preserve"> </w:t>
      </w:r>
      <w:r w:rsidR="00742094" w:rsidRPr="00ED04F0">
        <w:rPr>
          <w:lang w:val="fr-FR"/>
        </w:rPr>
        <w:t>force est de constater que cet appel est resté sans réponse pendant plus de trois ans</w:t>
      </w:r>
      <w:r w:rsidR="00F1675B" w:rsidRPr="00ED04F0">
        <w:rPr>
          <w:lang w:val="fr-FR"/>
        </w:rPr>
        <w:t xml:space="preserve">. </w:t>
      </w:r>
      <w:r w:rsidR="00F653A4" w:rsidRPr="00ED04F0">
        <w:rPr>
          <w:lang w:val="fr-FR"/>
        </w:rPr>
        <w:t xml:space="preserve">La Cour observe que si </w:t>
      </w:r>
      <w:r w:rsidR="007E5882" w:rsidRPr="00ED04F0">
        <w:rPr>
          <w:lang w:val="fr-FR"/>
        </w:rPr>
        <w:t>la responsabilité d</w:t>
      </w:r>
      <w:r w:rsidR="005A6B8A">
        <w:rPr>
          <w:lang w:val="fr-FR"/>
        </w:rPr>
        <w:t>’</w:t>
      </w:r>
      <w:r w:rsidR="007E5882" w:rsidRPr="00ED04F0">
        <w:rPr>
          <w:lang w:val="fr-FR"/>
        </w:rPr>
        <w:t>assurer la présence d</w:t>
      </w:r>
      <w:r w:rsidR="005A6B8A">
        <w:rPr>
          <w:lang w:val="fr-FR"/>
        </w:rPr>
        <w:t>’</w:t>
      </w:r>
      <w:r w:rsidR="007E5882" w:rsidRPr="00ED04F0">
        <w:rPr>
          <w:lang w:val="fr-FR"/>
        </w:rPr>
        <w:t>un kinésithérapeute au sein de cette prison relève d</w:t>
      </w:r>
      <w:r w:rsidR="005A6B8A">
        <w:rPr>
          <w:lang w:val="fr-FR"/>
        </w:rPr>
        <w:t>’</w:t>
      </w:r>
      <w:r w:rsidR="007E5882" w:rsidRPr="00ED04F0">
        <w:rPr>
          <w:lang w:val="fr-FR"/>
        </w:rPr>
        <w:t>une administration différente de l</w:t>
      </w:r>
      <w:r w:rsidR="005A6B8A">
        <w:rPr>
          <w:lang w:val="fr-FR"/>
        </w:rPr>
        <w:t>’</w:t>
      </w:r>
      <w:r w:rsidR="007E5882" w:rsidRPr="00ED04F0">
        <w:rPr>
          <w:lang w:val="fr-FR"/>
        </w:rPr>
        <w:t>administration pénitentiaire, cela ne peut justifier un tel délai d</w:t>
      </w:r>
      <w:r w:rsidR="005A6B8A">
        <w:rPr>
          <w:lang w:val="fr-FR"/>
        </w:rPr>
        <w:t>’</w:t>
      </w:r>
      <w:r w:rsidR="007E5882" w:rsidRPr="00ED04F0">
        <w:rPr>
          <w:lang w:val="fr-FR"/>
        </w:rPr>
        <w:t>inertie et n</w:t>
      </w:r>
      <w:r w:rsidR="005A6B8A">
        <w:rPr>
          <w:lang w:val="fr-FR"/>
        </w:rPr>
        <w:t>’</w:t>
      </w:r>
      <w:r w:rsidR="007E5882" w:rsidRPr="00ED04F0">
        <w:rPr>
          <w:lang w:val="fr-FR"/>
        </w:rPr>
        <w:t>exonère en tout état de cause pas l</w:t>
      </w:r>
      <w:r w:rsidR="005A6B8A">
        <w:rPr>
          <w:lang w:val="fr-FR"/>
        </w:rPr>
        <w:t>’</w:t>
      </w:r>
      <w:r w:rsidR="007E20BE" w:rsidRPr="00ED04F0">
        <w:rPr>
          <w:lang w:val="fr-FR"/>
        </w:rPr>
        <w:t>État</w:t>
      </w:r>
      <w:r w:rsidR="007E5882" w:rsidRPr="00ED04F0">
        <w:rPr>
          <w:lang w:val="fr-FR"/>
        </w:rPr>
        <w:t xml:space="preserve"> de ses obligations </w:t>
      </w:r>
      <w:r w:rsidR="003F2FFF">
        <w:rPr>
          <w:lang w:val="fr-FR"/>
        </w:rPr>
        <w:t>à l</w:t>
      </w:r>
      <w:r w:rsidR="005A6B8A">
        <w:rPr>
          <w:lang w:val="fr-FR"/>
        </w:rPr>
        <w:t>’</w:t>
      </w:r>
      <w:r w:rsidR="003F2FFF">
        <w:rPr>
          <w:lang w:val="fr-FR"/>
        </w:rPr>
        <w:t>égard d</w:t>
      </w:r>
      <w:r w:rsidR="007E5882" w:rsidRPr="00ED04F0">
        <w:rPr>
          <w:lang w:val="fr-FR"/>
        </w:rPr>
        <w:t>u</w:t>
      </w:r>
      <w:r w:rsidR="009E2ED8">
        <w:rPr>
          <w:lang w:val="fr-FR"/>
        </w:rPr>
        <w:t xml:space="preserve"> requérant</w:t>
      </w:r>
      <w:r w:rsidR="007E5882" w:rsidRPr="00ED04F0">
        <w:rPr>
          <w:lang w:val="fr-FR"/>
        </w:rPr>
        <w:t>.</w:t>
      </w:r>
    </w:p>
    <w:p w:rsidR="00EA769E" w:rsidRPr="00ED04F0" w:rsidRDefault="00F1675B" w:rsidP="00AE6107">
      <w:pPr>
        <w:pStyle w:val="ECHRPara"/>
        <w:rPr>
          <w:lang w:val="fr-FR"/>
        </w:rPr>
      </w:pPr>
      <w:r w:rsidRPr="00ED04F0">
        <w:rPr>
          <w:lang w:val="fr-FR"/>
        </w:rPr>
        <w:t xml:space="preserve">Par ailleurs, la Cour observe que </w:t>
      </w:r>
      <w:r w:rsidR="00BF0DE8" w:rsidRPr="00ED04F0">
        <w:rPr>
          <w:lang w:val="fr-FR"/>
        </w:rPr>
        <w:t>l</w:t>
      </w:r>
      <w:r w:rsidR="00064AD9" w:rsidRPr="00ED04F0">
        <w:rPr>
          <w:lang w:val="fr-FR"/>
        </w:rPr>
        <w:t>e Gouvernement</w:t>
      </w:r>
      <w:r w:rsidR="000D6DE2" w:rsidRPr="00ED04F0">
        <w:rPr>
          <w:lang w:val="fr-FR"/>
        </w:rPr>
        <w:t xml:space="preserve"> n</w:t>
      </w:r>
      <w:r w:rsidR="005A6B8A">
        <w:rPr>
          <w:lang w:val="fr-FR"/>
        </w:rPr>
        <w:t>’</w:t>
      </w:r>
      <w:r w:rsidR="000D6DE2" w:rsidRPr="00ED04F0">
        <w:rPr>
          <w:lang w:val="fr-FR"/>
        </w:rPr>
        <w:t>a pas démontré qu</w:t>
      </w:r>
      <w:r w:rsidR="005A6B8A">
        <w:rPr>
          <w:lang w:val="fr-FR"/>
        </w:rPr>
        <w:t>’</w:t>
      </w:r>
      <w:r w:rsidR="000D6DE2" w:rsidRPr="00ED04F0">
        <w:rPr>
          <w:lang w:val="fr-FR"/>
        </w:rPr>
        <w:t>une so</w:t>
      </w:r>
      <w:r w:rsidR="003E5B29" w:rsidRPr="00ED04F0">
        <w:rPr>
          <w:lang w:val="fr-FR"/>
        </w:rPr>
        <w:t>lution a</w:t>
      </w:r>
      <w:r w:rsidR="00526787" w:rsidRPr="00ED04F0">
        <w:rPr>
          <w:lang w:val="fr-FR"/>
        </w:rPr>
        <w:t>it</w:t>
      </w:r>
      <w:r w:rsidR="003E5B29" w:rsidRPr="00ED04F0">
        <w:rPr>
          <w:lang w:val="fr-FR"/>
        </w:rPr>
        <w:t xml:space="preserve"> été recherchée pour que le requérant puisse être transféré dans une autre prison ou en milieu spécialisé.</w:t>
      </w:r>
      <w:r w:rsidR="007E5882" w:rsidRPr="00ED04F0">
        <w:rPr>
          <w:lang w:val="fr-FR"/>
        </w:rPr>
        <w:t xml:space="preserve"> </w:t>
      </w:r>
      <w:r w:rsidR="00C2163A" w:rsidRPr="00ED04F0">
        <w:rPr>
          <w:lang w:val="fr-FR"/>
        </w:rPr>
        <w:t>Elle</w:t>
      </w:r>
      <w:r w:rsidR="00BF0DE8" w:rsidRPr="00ED04F0">
        <w:rPr>
          <w:lang w:val="fr-FR"/>
        </w:rPr>
        <w:t xml:space="preserve"> ne saurait valider l</w:t>
      </w:r>
      <w:r w:rsidR="005A6B8A">
        <w:rPr>
          <w:lang w:val="fr-FR"/>
        </w:rPr>
        <w:t>’</w:t>
      </w:r>
      <w:r w:rsidR="00BF0DE8" w:rsidRPr="00ED04F0">
        <w:rPr>
          <w:lang w:val="fr-FR"/>
        </w:rPr>
        <w:t xml:space="preserve">argument du Gouvernement selon lequel </w:t>
      </w:r>
      <w:r w:rsidR="00CA646A" w:rsidRPr="00ED04F0">
        <w:rPr>
          <w:lang w:val="fr-FR"/>
        </w:rPr>
        <w:t>l</w:t>
      </w:r>
      <w:r w:rsidR="005A6B8A">
        <w:rPr>
          <w:lang w:val="fr-FR"/>
        </w:rPr>
        <w:t>’</w:t>
      </w:r>
      <w:r w:rsidR="00CA646A" w:rsidRPr="00ED04F0">
        <w:rPr>
          <w:lang w:val="fr-FR"/>
        </w:rPr>
        <w:t>absence d</w:t>
      </w:r>
      <w:r w:rsidR="005A6B8A">
        <w:rPr>
          <w:lang w:val="fr-FR"/>
        </w:rPr>
        <w:t>’</w:t>
      </w:r>
      <w:r w:rsidR="00CA646A" w:rsidRPr="00ED04F0">
        <w:rPr>
          <w:lang w:val="fr-FR"/>
        </w:rPr>
        <w:t xml:space="preserve">un tel transfert, en particulier vers le centre de détention de Roanne, serait </w:t>
      </w:r>
      <w:r w:rsidR="00855D3B" w:rsidRPr="00ED04F0">
        <w:rPr>
          <w:lang w:val="fr-FR"/>
        </w:rPr>
        <w:t xml:space="preserve">entièrement </w:t>
      </w:r>
      <w:r w:rsidR="00CA646A" w:rsidRPr="00ED04F0">
        <w:rPr>
          <w:lang w:val="fr-FR"/>
        </w:rPr>
        <w:t>imputable au requérant</w:t>
      </w:r>
      <w:r w:rsidR="00020EC0" w:rsidRPr="00ED04F0">
        <w:rPr>
          <w:lang w:val="fr-FR"/>
        </w:rPr>
        <w:t>.</w:t>
      </w:r>
      <w:r w:rsidR="00BF0DE8" w:rsidRPr="00ED04F0">
        <w:rPr>
          <w:lang w:val="fr-FR"/>
        </w:rPr>
        <w:t xml:space="preserve"> </w:t>
      </w:r>
      <w:r w:rsidR="00B07653">
        <w:rPr>
          <w:lang w:val="fr-FR"/>
        </w:rPr>
        <w:t>Certes, l</w:t>
      </w:r>
      <w:r w:rsidR="005A6B8A">
        <w:rPr>
          <w:lang w:val="fr-FR"/>
        </w:rPr>
        <w:t>’</w:t>
      </w:r>
      <w:r w:rsidR="00B07653">
        <w:rPr>
          <w:lang w:val="fr-FR"/>
        </w:rPr>
        <w:t>affirmation de</w:t>
      </w:r>
      <w:r w:rsidR="00CA646A" w:rsidRPr="00ED04F0">
        <w:rPr>
          <w:lang w:val="fr-FR"/>
        </w:rPr>
        <w:t xml:space="preserve"> ce dernier</w:t>
      </w:r>
      <w:r w:rsidR="00E50C44" w:rsidRPr="00ED04F0">
        <w:rPr>
          <w:lang w:val="fr-FR"/>
        </w:rPr>
        <w:t xml:space="preserve"> </w:t>
      </w:r>
      <w:r w:rsidR="00B07653">
        <w:rPr>
          <w:lang w:val="fr-FR"/>
        </w:rPr>
        <w:t xml:space="preserve">selon laquelle </w:t>
      </w:r>
      <w:r w:rsidR="00E50C44" w:rsidRPr="00ED04F0">
        <w:rPr>
          <w:lang w:val="fr-FR"/>
        </w:rPr>
        <w:t>il n</w:t>
      </w:r>
      <w:r w:rsidR="005A6B8A">
        <w:rPr>
          <w:lang w:val="fr-FR"/>
        </w:rPr>
        <w:t>’</w:t>
      </w:r>
      <w:r w:rsidR="00E50C44" w:rsidRPr="00ED04F0">
        <w:rPr>
          <w:lang w:val="fr-FR"/>
        </w:rPr>
        <w:t>aurait pu y bénéficier des soins nécessaires ne peut être regardé</w:t>
      </w:r>
      <w:r w:rsidR="00B07653">
        <w:rPr>
          <w:lang w:val="fr-FR"/>
        </w:rPr>
        <w:t>e</w:t>
      </w:r>
      <w:r w:rsidR="00E50C44" w:rsidRPr="00ED04F0">
        <w:rPr>
          <w:lang w:val="fr-FR"/>
        </w:rPr>
        <w:t xml:space="preserve"> que comme une spéculation ; les observations des parties sur ce point diffèrent sensiblement puisqu</w:t>
      </w:r>
      <w:r w:rsidR="005A6B8A">
        <w:rPr>
          <w:lang w:val="fr-FR"/>
        </w:rPr>
        <w:t>’</w:t>
      </w:r>
      <w:r w:rsidR="00E50C44" w:rsidRPr="00ED04F0">
        <w:rPr>
          <w:lang w:val="fr-FR"/>
        </w:rPr>
        <w:t>elles évoquent la situation de cet établissement à des époques différentes</w:t>
      </w:r>
      <w:r w:rsidR="00F625C4" w:rsidRPr="00ED04F0">
        <w:rPr>
          <w:lang w:val="fr-FR"/>
        </w:rPr>
        <w:t xml:space="preserve"> (paragraphes 2</w:t>
      </w:r>
      <w:r w:rsidR="00545953">
        <w:rPr>
          <w:lang w:val="fr-FR"/>
        </w:rPr>
        <w:t>5</w:t>
      </w:r>
      <w:r w:rsidR="00F625C4" w:rsidRPr="00ED04F0">
        <w:rPr>
          <w:lang w:val="fr-FR"/>
        </w:rPr>
        <w:t xml:space="preserve"> et 2</w:t>
      </w:r>
      <w:r w:rsidR="00545953">
        <w:rPr>
          <w:lang w:val="fr-FR"/>
        </w:rPr>
        <w:t>6</w:t>
      </w:r>
      <w:r w:rsidR="00F625C4" w:rsidRPr="00ED04F0">
        <w:rPr>
          <w:lang w:val="fr-FR"/>
        </w:rPr>
        <w:t xml:space="preserve"> ci-dessus)</w:t>
      </w:r>
      <w:r w:rsidR="00E50C44" w:rsidRPr="00ED04F0">
        <w:rPr>
          <w:lang w:val="fr-FR"/>
        </w:rPr>
        <w:t>. De même, il est exact que le requérant n</w:t>
      </w:r>
      <w:r w:rsidR="005A6B8A">
        <w:rPr>
          <w:lang w:val="fr-FR"/>
        </w:rPr>
        <w:t>’</w:t>
      </w:r>
      <w:r w:rsidR="00E50C44" w:rsidRPr="00ED04F0">
        <w:rPr>
          <w:lang w:val="fr-FR"/>
        </w:rPr>
        <w:t>a pas formellement demandé son transfert, mai</w:t>
      </w:r>
      <w:r w:rsidR="00F653A4" w:rsidRPr="00ED04F0">
        <w:rPr>
          <w:lang w:val="fr-FR"/>
        </w:rPr>
        <w:t>s</w:t>
      </w:r>
      <w:r w:rsidR="00B07653">
        <w:rPr>
          <w:lang w:val="fr-FR"/>
        </w:rPr>
        <w:t>, selon le Gouvernement,</w:t>
      </w:r>
      <w:r w:rsidR="00F653A4" w:rsidRPr="00ED04F0">
        <w:rPr>
          <w:lang w:val="fr-FR"/>
        </w:rPr>
        <w:t xml:space="preserve"> renoncé à en faire la demande</w:t>
      </w:r>
      <w:r w:rsidR="00E50C44" w:rsidRPr="00ED04F0">
        <w:rPr>
          <w:lang w:val="fr-FR"/>
        </w:rPr>
        <w:t xml:space="preserve">, </w:t>
      </w:r>
      <w:r w:rsidR="001F4DB6" w:rsidRPr="00ED04F0">
        <w:rPr>
          <w:lang w:val="fr-FR"/>
        </w:rPr>
        <w:t>d</w:t>
      </w:r>
      <w:r w:rsidR="005A6B8A">
        <w:rPr>
          <w:lang w:val="fr-FR"/>
        </w:rPr>
        <w:t>’</w:t>
      </w:r>
      <w:r w:rsidR="001F4DB6" w:rsidRPr="00ED04F0">
        <w:rPr>
          <w:lang w:val="fr-FR"/>
        </w:rPr>
        <w:t xml:space="preserve">abord </w:t>
      </w:r>
      <w:r w:rsidR="00A76F35" w:rsidRPr="00ED04F0">
        <w:rPr>
          <w:lang w:val="fr-FR"/>
        </w:rPr>
        <w:t>parce que, en juin 2010, « sa principale motivation concernait la jurisprudence des autorités judiciaires s</w:t>
      </w:r>
      <w:r w:rsidR="005A6B8A">
        <w:rPr>
          <w:lang w:val="fr-FR"/>
        </w:rPr>
        <w:t>’</w:t>
      </w:r>
      <w:r w:rsidR="00A76F35" w:rsidRPr="00ED04F0">
        <w:rPr>
          <w:lang w:val="fr-FR"/>
        </w:rPr>
        <w:t>agissant des demandes d</w:t>
      </w:r>
      <w:r w:rsidR="005A6B8A">
        <w:rPr>
          <w:lang w:val="fr-FR"/>
        </w:rPr>
        <w:t>’</w:t>
      </w:r>
      <w:r w:rsidR="00A76F35" w:rsidRPr="00ED04F0">
        <w:rPr>
          <w:lang w:val="fr-FR"/>
        </w:rPr>
        <w:t>aménagement des peines et non les soins dont il pourrait bénéficier », ensuite pour des raisons</w:t>
      </w:r>
      <w:r w:rsidR="001F4DB6" w:rsidRPr="00ED04F0">
        <w:rPr>
          <w:lang w:val="fr-FR"/>
        </w:rPr>
        <w:t xml:space="preserve"> confuses en août 2011</w:t>
      </w:r>
      <w:r w:rsidR="00C2163A" w:rsidRPr="00ED04F0">
        <w:rPr>
          <w:lang w:val="fr-FR"/>
        </w:rPr>
        <w:t xml:space="preserve"> </w:t>
      </w:r>
      <w:r w:rsidR="00A76F35" w:rsidRPr="00ED04F0">
        <w:rPr>
          <w:lang w:val="fr-FR"/>
        </w:rPr>
        <w:t>(paragraphe 2</w:t>
      </w:r>
      <w:r w:rsidR="00545953">
        <w:rPr>
          <w:lang w:val="fr-FR"/>
        </w:rPr>
        <w:t>6</w:t>
      </w:r>
      <w:r w:rsidR="00A76F35" w:rsidRPr="00ED04F0">
        <w:rPr>
          <w:lang w:val="fr-FR"/>
        </w:rPr>
        <w:t xml:space="preserve"> ci-dessus).</w:t>
      </w:r>
      <w:r w:rsidR="001F4DB6" w:rsidRPr="00ED04F0">
        <w:rPr>
          <w:lang w:val="fr-FR"/>
        </w:rPr>
        <w:t xml:space="preserve"> </w:t>
      </w:r>
      <w:r w:rsidR="00B07653">
        <w:rPr>
          <w:lang w:val="fr-FR"/>
        </w:rPr>
        <w:t>Toutefois, l</w:t>
      </w:r>
      <w:r w:rsidR="001B0E1E" w:rsidRPr="00ED04F0">
        <w:rPr>
          <w:lang w:val="fr-FR"/>
        </w:rPr>
        <w:t>a Cour estime</w:t>
      </w:r>
      <w:r w:rsidR="00E50C44" w:rsidRPr="00ED04F0">
        <w:rPr>
          <w:lang w:val="fr-FR"/>
        </w:rPr>
        <w:t xml:space="preserve"> que ce renoncement n</w:t>
      </w:r>
      <w:r w:rsidR="005A6B8A">
        <w:rPr>
          <w:lang w:val="fr-FR"/>
        </w:rPr>
        <w:t>’</w:t>
      </w:r>
      <w:r w:rsidR="00E50C44" w:rsidRPr="00ED04F0">
        <w:rPr>
          <w:lang w:val="fr-FR"/>
        </w:rPr>
        <w:t>est</w:t>
      </w:r>
      <w:r w:rsidR="00F07625" w:rsidRPr="00ED04F0">
        <w:rPr>
          <w:lang w:val="fr-FR"/>
        </w:rPr>
        <w:t xml:space="preserve"> pas</w:t>
      </w:r>
      <w:r w:rsidR="00E50C44" w:rsidRPr="00ED04F0">
        <w:rPr>
          <w:lang w:val="fr-FR"/>
        </w:rPr>
        <w:t xml:space="preserve"> synonyme d</w:t>
      </w:r>
      <w:r w:rsidR="005A6B8A">
        <w:rPr>
          <w:lang w:val="fr-FR"/>
        </w:rPr>
        <w:t>’</w:t>
      </w:r>
      <w:r w:rsidR="00E50C44" w:rsidRPr="00ED04F0">
        <w:rPr>
          <w:lang w:val="fr-FR"/>
        </w:rPr>
        <w:t>un</w:t>
      </w:r>
      <w:r w:rsidR="000240DC" w:rsidRPr="00ED04F0">
        <w:rPr>
          <w:lang w:val="fr-FR"/>
        </w:rPr>
        <w:t xml:space="preserve"> renoncement aux soins : elle rappelle que le re</w:t>
      </w:r>
      <w:r w:rsidR="002828E7" w:rsidRPr="00ED04F0">
        <w:rPr>
          <w:lang w:val="fr-FR"/>
        </w:rPr>
        <w:t xml:space="preserve">quérant attendait en août 2011 </w:t>
      </w:r>
      <w:r w:rsidR="000240DC" w:rsidRPr="00ED04F0">
        <w:rPr>
          <w:lang w:val="fr-FR"/>
        </w:rPr>
        <w:t>l</w:t>
      </w:r>
      <w:r w:rsidR="005A6B8A">
        <w:rPr>
          <w:lang w:val="fr-FR"/>
        </w:rPr>
        <w:t>’</w:t>
      </w:r>
      <w:r w:rsidR="000240DC" w:rsidRPr="00ED04F0">
        <w:rPr>
          <w:lang w:val="fr-FR"/>
        </w:rPr>
        <w:t xml:space="preserve">aboutissement de son recours judiciaire pour obtenir </w:t>
      </w:r>
      <w:r w:rsidR="00F653A4" w:rsidRPr="00ED04F0">
        <w:rPr>
          <w:lang w:val="fr-FR"/>
        </w:rPr>
        <w:t xml:space="preserve">une suspension de peine, ce qui </w:t>
      </w:r>
      <w:r w:rsidR="000240DC" w:rsidRPr="00ED04F0">
        <w:rPr>
          <w:lang w:val="fr-FR"/>
        </w:rPr>
        <w:t>peut expliquer qu</w:t>
      </w:r>
      <w:r w:rsidR="005A6B8A">
        <w:rPr>
          <w:lang w:val="fr-FR"/>
        </w:rPr>
        <w:t>’</w:t>
      </w:r>
      <w:r w:rsidR="000240DC" w:rsidRPr="00ED04F0">
        <w:rPr>
          <w:lang w:val="fr-FR"/>
        </w:rPr>
        <w:t>il n</w:t>
      </w:r>
      <w:r w:rsidR="005A6B8A">
        <w:rPr>
          <w:lang w:val="fr-FR"/>
        </w:rPr>
        <w:t>’</w:t>
      </w:r>
      <w:r w:rsidR="000240DC" w:rsidRPr="00ED04F0">
        <w:rPr>
          <w:lang w:val="fr-FR"/>
        </w:rPr>
        <w:t>ait pas entamé de démarches auprès des autorités pénitentiaires à ce moment</w:t>
      </w:r>
      <w:r w:rsidR="003F2FFF">
        <w:rPr>
          <w:lang w:val="fr-FR"/>
        </w:rPr>
        <w:t>-</w:t>
      </w:r>
      <w:r w:rsidR="000240DC" w:rsidRPr="00ED04F0">
        <w:rPr>
          <w:lang w:val="fr-FR"/>
        </w:rPr>
        <w:t>là. Par ailleurs, si l</w:t>
      </w:r>
      <w:r w:rsidR="005A6B8A">
        <w:rPr>
          <w:lang w:val="fr-FR"/>
        </w:rPr>
        <w:t>’</w:t>
      </w:r>
      <w:r w:rsidR="000240DC" w:rsidRPr="00ED04F0">
        <w:rPr>
          <w:lang w:val="fr-FR"/>
        </w:rPr>
        <w:t>article D. 360</w:t>
      </w:r>
      <w:r w:rsidR="0008085A" w:rsidRPr="00ED04F0">
        <w:rPr>
          <w:lang w:val="fr-FR"/>
        </w:rPr>
        <w:t xml:space="preserve"> du CPP</w:t>
      </w:r>
      <w:r w:rsidR="000240DC" w:rsidRPr="00ED04F0">
        <w:rPr>
          <w:lang w:val="fr-FR"/>
        </w:rPr>
        <w:t xml:space="preserve"> </w:t>
      </w:r>
      <w:r w:rsidR="00B07653">
        <w:rPr>
          <w:lang w:val="fr-FR"/>
        </w:rPr>
        <w:t xml:space="preserve">énonce que </w:t>
      </w:r>
      <w:r w:rsidR="000240DC" w:rsidRPr="00ED04F0">
        <w:rPr>
          <w:lang w:val="fr-FR"/>
        </w:rPr>
        <w:t>le détenu peut solliciter un transfert vers un centre de détention plus adapté à son état de santé, il prévoit avant tout que la responsabilité d</w:t>
      </w:r>
      <w:r w:rsidR="005A6B8A">
        <w:rPr>
          <w:lang w:val="fr-FR"/>
        </w:rPr>
        <w:t>’</w:t>
      </w:r>
      <w:r w:rsidR="000240DC" w:rsidRPr="00ED04F0">
        <w:rPr>
          <w:lang w:val="fr-FR"/>
        </w:rPr>
        <w:t>un tel transfert incombe au directeur interrégional de l</w:t>
      </w:r>
      <w:r w:rsidR="005A6B8A">
        <w:rPr>
          <w:lang w:val="fr-FR"/>
        </w:rPr>
        <w:t>’</w:t>
      </w:r>
      <w:r w:rsidR="000240DC" w:rsidRPr="00ED04F0">
        <w:rPr>
          <w:lang w:val="fr-FR"/>
        </w:rPr>
        <w:t>administration pénitentiaire</w:t>
      </w:r>
      <w:r w:rsidR="002828E7" w:rsidRPr="00ED04F0">
        <w:rPr>
          <w:lang w:val="fr-FR"/>
        </w:rPr>
        <w:t xml:space="preserve"> qui</w:t>
      </w:r>
      <w:r w:rsidR="000240DC" w:rsidRPr="00ED04F0">
        <w:rPr>
          <w:lang w:val="fr-FR"/>
        </w:rPr>
        <w:t xml:space="preserve"> procède à l</w:t>
      </w:r>
      <w:r w:rsidR="005A6B8A">
        <w:rPr>
          <w:lang w:val="fr-FR"/>
        </w:rPr>
        <w:t>’</w:t>
      </w:r>
      <w:r w:rsidR="000240DC" w:rsidRPr="00ED04F0">
        <w:rPr>
          <w:lang w:val="fr-FR"/>
        </w:rPr>
        <w:t xml:space="preserve">intérieur de sa région à « tout transfèrement vers un établissement </w:t>
      </w:r>
      <w:r w:rsidR="000240DC" w:rsidRPr="00ED04F0">
        <w:rPr>
          <w:rFonts w:eastAsia="Times New Roman"/>
          <w:lang w:val="fr-FR"/>
        </w:rPr>
        <w:t>ayant pour objet de permettre à un détenu malade d</w:t>
      </w:r>
      <w:r w:rsidR="005A6B8A">
        <w:rPr>
          <w:rFonts w:eastAsia="Times New Roman"/>
          <w:lang w:val="fr-FR"/>
        </w:rPr>
        <w:t>’</w:t>
      </w:r>
      <w:r w:rsidR="000240DC" w:rsidRPr="00ED04F0">
        <w:rPr>
          <w:rFonts w:eastAsia="Times New Roman"/>
          <w:lang w:val="fr-FR"/>
        </w:rPr>
        <w:t>être pris en charge dans de meilleures conditions » (paragraphe 3</w:t>
      </w:r>
      <w:r w:rsidR="00545953">
        <w:rPr>
          <w:rFonts w:eastAsia="Times New Roman"/>
          <w:lang w:val="fr-FR"/>
        </w:rPr>
        <w:t>2</w:t>
      </w:r>
      <w:r w:rsidR="000240DC" w:rsidRPr="00ED04F0">
        <w:rPr>
          <w:rFonts w:eastAsia="Times New Roman"/>
          <w:lang w:val="fr-FR"/>
        </w:rPr>
        <w:t xml:space="preserve"> ci-dessus).</w:t>
      </w:r>
      <w:r w:rsidR="00AE6107" w:rsidRPr="00ED04F0">
        <w:rPr>
          <w:rFonts w:eastAsia="Times New Roman"/>
          <w:lang w:val="fr-FR"/>
        </w:rPr>
        <w:t xml:space="preserve"> </w:t>
      </w:r>
      <w:r w:rsidR="00F7650E" w:rsidRPr="00ED04F0">
        <w:rPr>
          <w:rFonts w:eastAsia="Times New Roman"/>
          <w:lang w:val="fr-FR"/>
        </w:rPr>
        <w:t xml:space="preserve">Or, </w:t>
      </w:r>
      <w:r w:rsidR="001D2831" w:rsidRPr="00ED04F0">
        <w:rPr>
          <w:rFonts w:eastAsia="Times New Roman"/>
          <w:lang w:val="fr-FR"/>
        </w:rPr>
        <w:t>il ne ressort pas du dossier qu</w:t>
      </w:r>
      <w:r w:rsidR="005A6B8A">
        <w:rPr>
          <w:rFonts w:eastAsia="Times New Roman"/>
          <w:lang w:val="fr-FR"/>
        </w:rPr>
        <w:t>’</w:t>
      </w:r>
      <w:r w:rsidR="001D2831" w:rsidRPr="00ED04F0">
        <w:rPr>
          <w:rFonts w:eastAsia="Times New Roman"/>
          <w:lang w:val="fr-FR"/>
        </w:rPr>
        <w:t>une mesure spécifique quelconque ait été prise pendant tout ce laps de temps ou qu</w:t>
      </w:r>
      <w:r w:rsidR="005A6B8A">
        <w:rPr>
          <w:rFonts w:eastAsia="Times New Roman"/>
          <w:lang w:val="fr-FR"/>
        </w:rPr>
        <w:t>’</w:t>
      </w:r>
      <w:r w:rsidR="001D2831" w:rsidRPr="00ED04F0">
        <w:rPr>
          <w:rFonts w:eastAsia="Times New Roman"/>
          <w:lang w:val="fr-FR"/>
        </w:rPr>
        <w:t>une solution ait été cherchée pour que le requérant</w:t>
      </w:r>
      <w:r w:rsidR="003C11FC" w:rsidRPr="00ED04F0">
        <w:rPr>
          <w:rFonts w:eastAsia="Times New Roman"/>
          <w:lang w:val="fr-FR"/>
        </w:rPr>
        <w:t xml:space="preserve"> puisse bénéficier </w:t>
      </w:r>
      <w:r w:rsidR="003C11FC" w:rsidRPr="00ED04F0">
        <w:rPr>
          <w:lang w:val="fr-FR"/>
        </w:rPr>
        <w:t>de</w:t>
      </w:r>
      <w:r w:rsidR="00C9001E" w:rsidRPr="00ED04F0">
        <w:rPr>
          <w:lang w:val="fr-FR"/>
        </w:rPr>
        <w:t xml:space="preserve"> séances de kinésithérapie</w:t>
      </w:r>
      <w:r w:rsidR="003C11FC" w:rsidRPr="00ED04F0">
        <w:rPr>
          <w:lang w:val="fr-FR"/>
        </w:rPr>
        <w:t xml:space="preserve"> adaptées à son état</w:t>
      </w:r>
      <w:r w:rsidR="00C9001E" w:rsidRPr="00ED04F0">
        <w:rPr>
          <w:lang w:val="fr-FR"/>
        </w:rPr>
        <w:t xml:space="preserve">, </w:t>
      </w:r>
      <w:r w:rsidR="003C11FC" w:rsidRPr="00ED04F0">
        <w:rPr>
          <w:lang w:val="fr-FR"/>
        </w:rPr>
        <w:t>malgré les recommandations répétées des médecins de l</w:t>
      </w:r>
      <w:r w:rsidR="005A6B8A">
        <w:rPr>
          <w:lang w:val="fr-FR"/>
        </w:rPr>
        <w:t>’</w:t>
      </w:r>
      <w:r w:rsidR="003C11FC" w:rsidRPr="00ED04F0">
        <w:rPr>
          <w:lang w:val="fr-FR"/>
        </w:rPr>
        <w:t>UCSA de le prendre en charge dans un environnement spécialisé</w:t>
      </w:r>
      <w:r w:rsidR="00C9001E" w:rsidRPr="00ED04F0">
        <w:rPr>
          <w:lang w:val="fr-FR"/>
        </w:rPr>
        <w:t xml:space="preserve"> (paragraphe 2</w:t>
      </w:r>
      <w:r w:rsidR="00545953">
        <w:rPr>
          <w:lang w:val="fr-FR"/>
        </w:rPr>
        <w:t>1</w:t>
      </w:r>
      <w:r w:rsidR="007E20BE">
        <w:rPr>
          <w:lang w:val="fr-FR"/>
        </w:rPr>
        <w:t xml:space="preserve"> ci</w:t>
      </w:r>
      <w:r w:rsidR="007E20BE">
        <w:rPr>
          <w:lang w:val="fr-FR"/>
        </w:rPr>
        <w:noBreakHyphen/>
      </w:r>
      <w:r w:rsidR="00C9001E" w:rsidRPr="00ED04F0">
        <w:rPr>
          <w:lang w:val="fr-FR"/>
        </w:rPr>
        <w:t>dessus).</w:t>
      </w:r>
      <w:r w:rsidR="006D2400" w:rsidRPr="00ED04F0">
        <w:rPr>
          <w:lang w:val="fr-FR"/>
        </w:rPr>
        <w:t xml:space="preserve"> Le seul comportement du requérant, qui semble avoir été réticent à un éventuel transfert, en raison notamment de l</w:t>
      </w:r>
      <w:r w:rsidR="005A6B8A">
        <w:rPr>
          <w:lang w:val="fr-FR"/>
        </w:rPr>
        <w:t>’</w:t>
      </w:r>
      <w:r w:rsidR="006D2400" w:rsidRPr="00ED04F0">
        <w:rPr>
          <w:lang w:val="fr-FR"/>
        </w:rPr>
        <w:t>éloignement familial (paragraphe 2</w:t>
      </w:r>
      <w:r w:rsidR="00545953">
        <w:rPr>
          <w:lang w:val="fr-FR"/>
        </w:rPr>
        <w:t>5</w:t>
      </w:r>
      <w:r w:rsidR="006D2400" w:rsidRPr="00ED04F0">
        <w:rPr>
          <w:lang w:val="fr-FR"/>
        </w:rPr>
        <w:t xml:space="preserve"> ci-dessus), ne saurait justifier l</w:t>
      </w:r>
      <w:r w:rsidR="005A6B8A">
        <w:rPr>
          <w:lang w:val="fr-FR"/>
        </w:rPr>
        <w:t>’</w:t>
      </w:r>
      <w:r w:rsidR="003502E4" w:rsidRPr="00ED04F0">
        <w:rPr>
          <w:lang w:val="fr-FR"/>
        </w:rPr>
        <w:t>inertie</w:t>
      </w:r>
      <w:r w:rsidR="006D2400" w:rsidRPr="00ED04F0">
        <w:rPr>
          <w:lang w:val="fr-FR"/>
        </w:rPr>
        <w:t xml:space="preserve"> des autorité</w:t>
      </w:r>
      <w:r w:rsidR="003D421C" w:rsidRPr="00ED04F0">
        <w:rPr>
          <w:lang w:val="fr-FR"/>
        </w:rPr>
        <w:t>s pénitentiaires et sanitaires qui n</w:t>
      </w:r>
      <w:r w:rsidR="005A6B8A">
        <w:rPr>
          <w:lang w:val="fr-FR"/>
        </w:rPr>
        <w:t>’</w:t>
      </w:r>
      <w:r w:rsidR="003D421C" w:rsidRPr="00ED04F0">
        <w:rPr>
          <w:lang w:val="fr-FR"/>
        </w:rPr>
        <w:t xml:space="preserve">ont pas su coopérer </w:t>
      </w:r>
      <w:r w:rsidR="00B07653">
        <w:rPr>
          <w:lang w:val="fr-FR"/>
        </w:rPr>
        <w:t>(paragraphe 3</w:t>
      </w:r>
      <w:r w:rsidR="00545953">
        <w:rPr>
          <w:lang w:val="fr-FR"/>
        </w:rPr>
        <w:t>1</w:t>
      </w:r>
      <w:r w:rsidR="007E20BE">
        <w:rPr>
          <w:lang w:val="fr-FR"/>
        </w:rPr>
        <w:t xml:space="preserve"> ci</w:t>
      </w:r>
      <w:r w:rsidR="007E20BE">
        <w:rPr>
          <w:lang w:val="fr-FR"/>
        </w:rPr>
        <w:noBreakHyphen/>
      </w:r>
      <w:r w:rsidR="00B07653">
        <w:rPr>
          <w:lang w:val="fr-FR"/>
        </w:rPr>
        <w:t xml:space="preserve">dessus) </w:t>
      </w:r>
      <w:r w:rsidR="003D421C" w:rsidRPr="00ED04F0">
        <w:rPr>
          <w:lang w:val="fr-FR"/>
        </w:rPr>
        <w:t xml:space="preserve">pour </w:t>
      </w:r>
      <w:r w:rsidR="00155FD6" w:rsidRPr="00ED04F0">
        <w:rPr>
          <w:lang w:val="fr-FR"/>
        </w:rPr>
        <w:t xml:space="preserve">lui </w:t>
      </w:r>
      <w:r w:rsidR="00B07653">
        <w:rPr>
          <w:lang w:val="fr-FR"/>
        </w:rPr>
        <w:t>assurer</w:t>
      </w:r>
      <w:r w:rsidR="003D421C" w:rsidRPr="00ED04F0">
        <w:rPr>
          <w:lang w:val="fr-FR"/>
        </w:rPr>
        <w:t xml:space="preserve"> les soins</w:t>
      </w:r>
      <w:r w:rsidR="002E380E" w:rsidRPr="00ED04F0">
        <w:rPr>
          <w:lang w:val="fr-FR"/>
        </w:rPr>
        <w:t xml:space="preserve"> </w:t>
      </w:r>
      <w:r w:rsidR="00155FD6" w:rsidRPr="00ED04F0">
        <w:rPr>
          <w:lang w:val="fr-FR"/>
        </w:rPr>
        <w:t xml:space="preserve">dont </w:t>
      </w:r>
      <w:r w:rsidR="00B07653">
        <w:rPr>
          <w:lang w:val="fr-FR"/>
        </w:rPr>
        <w:t>l</w:t>
      </w:r>
      <w:r w:rsidR="005A6B8A">
        <w:rPr>
          <w:lang w:val="fr-FR"/>
        </w:rPr>
        <w:t>’</w:t>
      </w:r>
      <w:r w:rsidR="00B07653">
        <w:rPr>
          <w:lang w:val="fr-FR"/>
        </w:rPr>
        <w:t>exigence avait été formulée par les médecins qui l</w:t>
      </w:r>
      <w:r w:rsidR="005A6B8A">
        <w:rPr>
          <w:lang w:val="fr-FR"/>
        </w:rPr>
        <w:t>’</w:t>
      </w:r>
      <w:r w:rsidR="00B07653">
        <w:rPr>
          <w:lang w:val="fr-FR"/>
        </w:rPr>
        <w:t>avaient examiné.</w:t>
      </w:r>
      <w:r w:rsidR="006D2400" w:rsidRPr="00ED04F0">
        <w:rPr>
          <w:lang w:val="fr-FR"/>
        </w:rPr>
        <w:t xml:space="preserve"> </w:t>
      </w:r>
      <w:r w:rsidR="00FE08E8" w:rsidRPr="00ED04F0">
        <w:rPr>
          <w:lang w:val="fr-FR"/>
        </w:rPr>
        <w:t xml:space="preserve">La Cour </w:t>
      </w:r>
      <w:r w:rsidR="00B07653">
        <w:rPr>
          <w:lang w:val="fr-FR"/>
        </w:rPr>
        <w:t>relève</w:t>
      </w:r>
      <w:r w:rsidR="00FE08E8" w:rsidRPr="00ED04F0">
        <w:rPr>
          <w:lang w:val="fr-FR"/>
        </w:rPr>
        <w:t xml:space="preserve"> </w:t>
      </w:r>
      <w:r w:rsidR="009E5D9E" w:rsidRPr="00ED04F0">
        <w:rPr>
          <w:lang w:val="fr-FR"/>
        </w:rPr>
        <w:t>d</w:t>
      </w:r>
      <w:r w:rsidR="005A6B8A">
        <w:rPr>
          <w:lang w:val="fr-FR"/>
        </w:rPr>
        <w:t>’</w:t>
      </w:r>
      <w:r w:rsidR="009E5D9E" w:rsidRPr="00ED04F0">
        <w:rPr>
          <w:lang w:val="fr-FR"/>
        </w:rPr>
        <w:t>ailleurs</w:t>
      </w:r>
      <w:r w:rsidR="00FE08E8" w:rsidRPr="00ED04F0">
        <w:rPr>
          <w:lang w:val="fr-FR"/>
        </w:rPr>
        <w:t xml:space="preserve"> que ce</w:t>
      </w:r>
      <w:r w:rsidR="00155FD6" w:rsidRPr="00ED04F0">
        <w:rPr>
          <w:lang w:val="fr-FR"/>
        </w:rPr>
        <w:t>ux</w:t>
      </w:r>
      <w:r w:rsidR="00FE08E8" w:rsidRPr="00ED04F0">
        <w:rPr>
          <w:lang w:val="fr-FR"/>
        </w:rPr>
        <w:t xml:space="preserve"> dont</w:t>
      </w:r>
      <w:r w:rsidR="00155FD6" w:rsidRPr="00ED04F0">
        <w:rPr>
          <w:lang w:val="fr-FR"/>
        </w:rPr>
        <w:t xml:space="preserve"> il</w:t>
      </w:r>
      <w:r w:rsidR="00FE08E8" w:rsidRPr="00ED04F0">
        <w:rPr>
          <w:lang w:val="fr-FR"/>
        </w:rPr>
        <w:t xml:space="preserve"> </w:t>
      </w:r>
      <w:r w:rsidR="00ED04F0">
        <w:rPr>
          <w:lang w:val="fr-FR"/>
        </w:rPr>
        <w:t>a bénéficié</w:t>
      </w:r>
      <w:r w:rsidR="00FE08E8" w:rsidRPr="00ED04F0">
        <w:rPr>
          <w:lang w:val="fr-FR"/>
        </w:rPr>
        <w:t xml:space="preserve"> depuis le mois de septembre 2012</w:t>
      </w:r>
      <w:r w:rsidR="00B07653">
        <w:rPr>
          <w:lang w:val="fr-FR"/>
        </w:rPr>
        <w:t xml:space="preserve"> se limitent à </w:t>
      </w:r>
      <w:r w:rsidR="00FE08E8" w:rsidRPr="00ED04F0">
        <w:rPr>
          <w:lang w:val="fr-FR"/>
        </w:rPr>
        <w:t>une séance hebdomadaire de quinze min</w:t>
      </w:r>
      <w:r w:rsidR="001C2CCC" w:rsidRPr="00ED04F0">
        <w:rPr>
          <w:lang w:val="fr-FR"/>
        </w:rPr>
        <w:t>utes (paragraphe 2</w:t>
      </w:r>
      <w:r w:rsidR="00545953">
        <w:rPr>
          <w:lang w:val="fr-FR"/>
        </w:rPr>
        <w:t>1</w:t>
      </w:r>
      <w:r w:rsidR="001C2CCC" w:rsidRPr="00ED04F0">
        <w:rPr>
          <w:lang w:val="fr-FR"/>
        </w:rPr>
        <w:t xml:space="preserve"> ci-dessus).</w:t>
      </w:r>
    </w:p>
    <w:p w:rsidR="00965428" w:rsidRDefault="00FF7F1B" w:rsidP="0058507E">
      <w:pPr>
        <w:pStyle w:val="ECHRHeading5"/>
        <w:rPr>
          <w:lang w:val="fr-FR"/>
        </w:rPr>
      </w:pPr>
      <w:r>
        <w:rPr>
          <w:lang w:val="fr-FR"/>
        </w:rPr>
        <w:t>i</w:t>
      </w:r>
      <w:r w:rsidR="004F7E94">
        <w:rPr>
          <w:lang w:val="fr-FR"/>
        </w:rPr>
        <w:t>ii  </w:t>
      </w:r>
      <w:r w:rsidR="00EA769E">
        <w:rPr>
          <w:lang w:val="fr-FR"/>
        </w:rPr>
        <w:t>L</w:t>
      </w:r>
      <w:r w:rsidR="00965428">
        <w:rPr>
          <w:lang w:val="fr-FR"/>
        </w:rPr>
        <w:t>es conditions de détention</w:t>
      </w:r>
    </w:p>
    <w:p w:rsidR="00067570" w:rsidRDefault="008804CA"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59</w:t>
      </w:r>
      <w:r>
        <w:rPr>
          <w:lang w:val="fr-FR"/>
        </w:rPr>
        <w:fldChar w:fldCharType="end"/>
      </w:r>
      <w:r>
        <w:rPr>
          <w:lang w:val="fr-FR"/>
        </w:rPr>
        <w:t>.  </w:t>
      </w:r>
      <w:r w:rsidR="00965428">
        <w:rPr>
          <w:lang w:val="fr-FR"/>
        </w:rPr>
        <w:t xml:space="preserve">Le centre pénitentiaire </w:t>
      </w:r>
      <w:r w:rsidR="001C2CCC">
        <w:rPr>
          <w:lang w:val="fr-FR"/>
        </w:rPr>
        <w:t>d</w:t>
      </w:r>
      <w:r w:rsidR="005A6B8A">
        <w:rPr>
          <w:lang w:val="fr-FR"/>
        </w:rPr>
        <w:t>’</w:t>
      </w:r>
      <w:r w:rsidR="001C2CCC">
        <w:rPr>
          <w:lang w:val="fr-FR"/>
        </w:rPr>
        <w:t xml:space="preserve">Uzerche </w:t>
      </w:r>
      <w:r w:rsidR="00965428">
        <w:rPr>
          <w:lang w:val="fr-FR"/>
        </w:rPr>
        <w:t>dispose d</w:t>
      </w:r>
      <w:r w:rsidR="005A6B8A">
        <w:rPr>
          <w:lang w:val="fr-FR"/>
        </w:rPr>
        <w:t>’</w:t>
      </w:r>
      <w:r w:rsidR="00965428">
        <w:rPr>
          <w:lang w:val="fr-FR"/>
        </w:rPr>
        <w:t>une cellule p</w:t>
      </w:r>
      <w:r w:rsidR="00522550">
        <w:rPr>
          <w:lang w:val="fr-FR"/>
        </w:rPr>
        <w:t xml:space="preserve">our les détenus invalides, </w:t>
      </w:r>
      <w:r w:rsidR="00965428">
        <w:rPr>
          <w:lang w:val="fr-FR"/>
        </w:rPr>
        <w:t>située</w:t>
      </w:r>
      <w:r w:rsidR="00C811F2">
        <w:rPr>
          <w:lang w:val="fr-FR"/>
        </w:rPr>
        <w:t xml:space="preserve"> au rez</w:t>
      </w:r>
      <w:r w:rsidR="004A2A5E">
        <w:rPr>
          <w:lang w:val="fr-FR"/>
        </w:rPr>
        <w:t>-</w:t>
      </w:r>
      <w:r w:rsidR="00C811F2">
        <w:rPr>
          <w:lang w:val="fr-FR"/>
        </w:rPr>
        <w:t>de</w:t>
      </w:r>
      <w:r w:rsidR="004A2A5E">
        <w:rPr>
          <w:lang w:val="fr-FR"/>
        </w:rPr>
        <w:t>-</w:t>
      </w:r>
      <w:r w:rsidR="00C811F2">
        <w:rPr>
          <w:lang w:val="fr-FR"/>
        </w:rPr>
        <w:t>chaussée</w:t>
      </w:r>
      <w:r w:rsidR="001C2CCC">
        <w:rPr>
          <w:lang w:val="fr-FR"/>
        </w:rPr>
        <w:t>,</w:t>
      </w:r>
      <w:r w:rsidR="00965428">
        <w:rPr>
          <w:lang w:val="fr-FR"/>
        </w:rPr>
        <w:t xml:space="preserve"> à proximité de </w:t>
      </w:r>
      <w:r w:rsidR="00C811F2">
        <w:rPr>
          <w:lang w:val="fr-FR"/>
        </w:rPr>
        <w:t>l</w:t>
      </w:r>
      <w:r w:rsidR="005A6B8A">
        <w:rPr>
          <w:lang w:val="fr-FR"/>
        </w:rPr>
        <w:t>’</w:t>
      </w:r>
      <w:r w:rsidR="00C811F2">
        <w:rPr>
          <w:lang w:val="fr-FR"/>
        </w:rPr>
        <w:t>unité de consultation et de soi</w:t>
      </w:r>
      <w:r w:rsidR="00526787">
        <w:rPr>
          <w:lang w:val="fr-FR"/>
        </w:rPr>
        <w:t>ns, de la cantine, des parloirs</w:t>
      </w:r>
      <w:r w:rsidR="00C811F2">
        <w:rPr>
          <w:lang w:val="fr-FR"/>
        </w:rPr>
        <w:t>, de l</w:t>
      </w:r>
      <w:r w:rsidR="005A6B8A">
        <w:rPr>
          <w:lang w:val="fr-FR"/>
        </w:rPr>
        <w:t>’</w:t>
      </w:r>
      <w:r w:rsidR="00C811F2">
        <w:rPr>
          <w:lang w:val="fr-FR"/>
        </w:rPr>
        <w:t xml:space="preserve">accès à la promenade et du secteur socio-éducatif. </w:t>
      </w:r>
      <w:r w:rsidR="00965428">
        <w:rPr>
          <w:lang w:val="fr-FR"/>
        </w:rPr>
        <w:t xml:space="preserve">La Cour </w:t>
      </w:r>
      <w:r w:rsidR="00526787">
        <w:rPr>
          <w:lang w:val="fr-FR"/>
        </w:rPr>
        <w:t>relève qu</w:t>
      </w:r>
      <w:r w:rsidR="005A6B8A">
        <w:rPr>
          <w:lang w:val="fr-FR"/>
        </w:rPr>
        <w:t>’</w:t>
      </w:r>
      <w:r w:rsidR="00526787">
        <w:rPr>
          <w:lang w:val="fr-FR"/>
        </w:rPr>
        <w:t>elle n</w:t>
      </w:r>
      <w:r w:rsidR="005A6B8A">
        <w:rPr>
          <w:lang w:val="fr-FR"/>
        </w:rPr>
        <w:t>’</w:t>
      </w:r>
      <w:r w:rsidR="00526787">
        <w:rPr>
          <w:lang w:val="fr-FR"/>
        </w:rPr>
        <w:t>est pas saisie de doléances sur l</w:t>
      </w:r>
      <w:r w:rsidR="005A6B8A">
        <w:rPr>
          <w:lang w:val="fr-FR"/>
        </w:rPr>
        <w:t>’</w:t>
      </w:r>
      <w:r w:rsidR="00526787">
        <w:rPr>
          <w:lang w:val="fr-FR"/>
        </w:rPr>
        <w:t xml:space="preserve">aménagement de la cellule du requérant et que celle-ci </w:t>
      </w:r>
      <w:r w:rsidR="00965428">
        <w:rPr>
          <w:lang w:val="fr-FR"/>
        </w:rPr>
        <w:t>permet le passage d</w:t>
      </w:r>
      <w:r w:rsidR="005A6B8A">
        <w:rPr>
          <w:lang w:val="fr-FR"/>
        </w:rPr>
        <w:t>’</w:t>
      </w:r>
      <w:r w:rsidR="00965428">
        <w:rPr>
          <w:lang w:val="fr-FR"/>
        </w:rPr>
        <w:t>un fauteuil roulant</w:t>
      </w:r>
      <w:r w:rsidR="004F2696">
        <w:rPr>
          <w:lang w:val="fr-FR"/>
        </w:rPr>
        <w:t xml:space="preserve"> </w:t>
      </w:r>
      <w:r w:rsidR="00902E56">
        <w:rPr>
          <w:lang w:val="fr-FR"/>
        </w:rPr>
        <w:t>(</w:t>
      </w:r>
      <w:r w:rsidR="00902E56" w:rsidRPr="00902E56">
        <w:rPr>
          <w:i/>
          <w:lang w:val="fr-FR"/>
        </w:rPr>
        <w:t>a contrario</w:t>
      </w:r>
      <w:r w:rsidR="00902E56">
        <w:rPr>
          <w:lang w:val="fr-FR"/>
        </w:rPr>
        <w:t xml:space="preserve">, </w:t>
      </w:r>
      <w:r w:rsidR="00902E56" w:rsidRPr="00902E56">
        <w:rPr>
          <w:i/>
          <w:lang w:val="fr-FR"/>
        </w:rPr>
        <w:t>Vincent</w:t>
      </w:r>
      <w:r w:rsidR="00902E56">
        <w:rPr>
          <w:lang w:val="fr-FR"/>
        </w:rPr>
        <w:t xml:space="preserve"> précité, §§ 101 et 102)</w:t>
      </w:r>
      <w:r w:rsidR="00CD39D3">
        <w:rPr>
          <w:lang w:val="fr-FR"/>
        </w:rPr>
        <w:t>.</w:t>
      </w:r>
      <w:r w:rsidR="00522550">
        <w:rPr>
          <w:lang w:val="fr-FR"/>
        </w:rPr>
        <w:t xml:space="preserve"> De même,</w:t>
      </w:r>
      <w:r w:rsidR="00010861">
        <w:rPr>
          <w:lang w:val="fr-FR"/>
        </w:rPr>
        <w:t xml:space="preserve"> </w:t>
      </w:r>
      <w:r w:rsidR="003F2847">
        <w:rPr>
          <w:lang w:val="fr-FR"/>
        </w:rPr>
        <w:t>le requérant</w:t>
      </w:r>
      <w:r w:rsidR="00010861">
        <w:rPr>
          <w:lang w:val="fr-FR"/>
        </w:rPr>
        <w:t xml:space="preserve"> n</w:t>
      </w:r>
      <w:r w:rsidR="005A6B8A">
        <w:rPr>
          <w:lang w:val="fr-FR"/>
        </w:rPr>
        <w:t>’</w:t>
      </w:r>
      <w:r w:rsidR="00010861">
        <w:rPr>
          <w:lang w:val="fr-FR"/>
        </w:rPr>
        <w:t>exprime pas de souffrance quant à ses déplacements dans les diff</w:t>
      </w:r>
      <w:r w:rsidR="00C811F2">
        <w:rPr>
          <w:lang w:val="fr-FR"/>
        </w:rPr>
        <w:t>érentes ailes du bâ</w:t>
      </w:r>
      <w:r w:rsidR="00010861">
        <w:rPr>
          <w:lang w:val="fr-FR"/>
        </w:rPr>
        <w:t>timent</w:t>
      </w:r>
      <w:r w:rsidR="00C811F2">
        <w:rPr>
          <w:lang w:val="fr-FR"/>
        </w:rPr>
        <w:t xml:space="preserve"> et la Cour observe que celui-ci est équipé d</w:t>
      </w:r>
      <w:r w:rsidR="005A6B8A">
        <w:rPr>
          <w:lang w:val="fr-FR"/>
        </w:rPr>
        <w:t>’</w:t>
      </w:r>
      <w:r w:rsidR="00C811F2">
        <w:rPr>
          <w:lang w:val="fr-FR"/>
        </w:rPr>
        <w:t>un ascenseur qu</w:t>
      </w:r>
      <w:r w:rsidR="005A6B8A">
        <w:rPr>
          <w:lang w:val="fr-FR"/>
        </w:rPr>
        <w:t>’</w:t>
      </w:r>
      <w:r w:rsidR="00C811F2">
        <w:rPr>
          <w:lang w:val="fr-FR"/>
        </w:rPr>
        <w:t>il peut</w:t>
      </w:r>
      <w:r w:rsidR="00526787">
        <w:rPr>
          <w:lang w:val="fr-FR"/>
        </w:rPr>
        <w:t xml:space="preserve"> utiliser à l</w:t>
      </w:r>
      <w:r w:rsidR="005A6B8A">
        <w:rPr>
          <w:lang w:val="fr-FR"/>
        </w:rPr>
        <w:t>’</w:t>
      </w:r>
      <w:r w:rsidR="00526787">
        <w:rPr>
          <w:lang w:val="fr-FR"/>
        </w:rPr>
        <w:t>occasion</w:t>
      </w:r>
      <w:r w:rsidR="0020600E">
        <w:rPr>
          <w:lang w:val="fr-FR"/>
        </w:rPr>
        <w:t xml:space="preserve"> </w:t>
      </w:r>
      <w:r w:rsidR="00420E8D">
        <w:rPr>
          <w:lang w:val="fr-FR"/>
        </w:rPr>
        <w:t xml:space="preserve">(voir, </w:t>
      </w:r>
      <w:r w:rsidR="007E20BE">
        <w:rPr>
          <w:i/>
          <w:lang w:val="fr-FR"/>
        </w:rPr>
        <w:t>a </w:t>
      </w:r>
      <w:r w:rsidR="00420E8D" w:rsidRPr="00420E8D">
        <w:rPr>
          <w:i/>
          <w:lang w:val="fr-FR"/>
        </w:rPr>
        <w:t>contrario</w:t>
      </w:r>
      <w:r w:rsidR="00420E8D">
        <w:rPr>
          <w:lang w:val="fr-FR"/>
        </w:rPr>
        <w:t xml:space="preserve">, </w:t>
      </w:r>
      <w:r w:rsidR="00420E8D" w:rsidRPr="00420E8D">
        <w:rPr>
          <w:i/>
          <w:lang w:val="fr-FR"/>
        </w:rPr>
        <w:t>Arutyunyan c. Russie</w:t>
      </w:r>
      <w:r w:rsidR="00420E8D" w:rsidRPr="00420E8D">
        <w:rPr>
          <w:lang w:val="fr-FR"/>
        </w:rPr>
        <w:t>, n</w:t>
      </w:r>
      <w:r w:rsidR="00420E8D" w:rsidRPr="00420E8D">
        <w:rPr>
          <w:vertAlign w:val="superscript"/>
          <w:lang w:val="fr-FR"/>
        </w:rPr>
        <w:t>o</w:t>
      </w:r>
      <w:r w:rsidR="00420E8D" w:rsidRPr="00420E8D">
        <w:rPr>
          <w:lang w:val="fr-FR"/>
        </w:rPr>
        <w:t xml:space="preserve"> 48977/09</w:t>
      </w:r>
      <w:r w:rsidR="00420E8D" w:rsidRPr="00420E8D">
        <w:rPr>
          <w:snapToGrid w:val="0"/>
          <w:szCs w:val="24"/>
          <w:lang w:val="fr-FR"/>
        </w:rPr>
        <w:t>, §</w:t>
      </w:r>
      <w:r w:rsidR="00FF7F1B">
        <w:rPr>
          <w:snapToGrid w:val="0"/>
          <w:szCs w:val="24"/>
          <w:lang w:val="fr-FR"/>
        </w:rPr>
        <w:t>§ </w:t>
      </w:r>
      <w:r w:rsidR="00420E8D">
        <w:rPr>
          <w:snapToGrid w:val="0"/>
          <w:szCs w:val="24"/>
          <w:lang w:val="fr-FR"/>
        </w:rPr>
        <w:t>78-79</w:t>
      </w:r>
      <w:r w:rsidR="00420E8D" w:rsidRPr="00420E8D">
        <w:rPr>
          <w:snapToGrid w:val="0"/>
          <w:szCs w:val="24"/>
          <w:lang w:val="fr-FR"/>
        </w:rPr>
        <w:t xml:space="preserve">, 10 </w:t>
      </w:r>
      <w:r w:rsidR="00420E8D" w:rsidRPr="00420E8D">
        <w:rPr>
          <w:szCs w:val="24"/>
          <w:lang w:val="fr-FR"/>
        </w:rPr>
        <w:t>janvier</w:t>
      </w:r>
      <w:r w:rsidR="00420E8D" w:rsidRPr="00420E8D">
        <w:rPr>
          <w:snapToGrid w:val="0"/>
          <w:szCs w:val="24"/>
          <w:lang w:val="fr-FR"/>
        </w:rPr>
        <w:t xml:space="preserve"> 2012</w:t>
      </w:r>
      <w:r w:rsidR="00420E8D">
        <w:rPr>
          <w:snapToGrid w:val="0"/>
          <w:szCs w:val="24"/>
          <w:lang w:val="fr-FR"/>
        </w:rPr>
        <w:t>)</w:t>
      </w:r>
      <w:r w:rsidR="00C811F2">
        <w:rPr>
          <w:lang w:val="fr-FR"/>
        </w:rPr>
        <w:t>. Même s</w:t>
      </w:r>
      <w:r w:rsidR="005A6B8A">
        <w:rPr>
          <w:lang w:val="fr-FR"/>
        </w:rPr>
        <w:t>’</w:t>
      </w:r>
      <w:r w:rsidR="00C811F2">
        <w:rPr>
          <w:lang w:val="fr-FR"/>
        </w:rPr>
        <w:t>il ne ressort pas du dossier que le requér</w:t>
      </w:r>
      <w:r w:rsidR="004F1B09">
        <w:rPr>
          <w:lang w:val="fr-FR"/>
        </w:rPr>
        <w:t>ant sorte souvent de sa cellule</w:t>
      </w:r>
      <w:r w:rsidR="00C811F2">
        <w:rPr>
          <w:lang w:val="fr-FR"/>
        </w:rPr>
        <w:t>, la Cour</w:t>
      </w:r>
      <w:r w:rsidR="00AC3734">
        <w:rPr>
          <w:lang w:val="fr-FR"/>
        </w:rPr>
        <w:t xml:space="preserve"> ne peut déceler dans s</w:t>
      </w:r>
      <w:r w:rsidR="00526787">
        <w:rPr>
          <w:lang w:val="fr-FR"/>
        </w:rPr>
        <w:t>es écriture</w:t>
      </w:r>
      <w:r w:rsidR="008C7B7A">
        <w:rPr>
          <w:lang w:val="fr-FR"/>
        </w:rPr>
        <w:t>s</w:t>
      </w:r>
      <w:r w:rsidR="00AC3734">
        <w:rPr>
          <w:lang w:val="fr-FR"/>
        </w:rPr>
        <w:t xml:space="preserve"> de problèmes particuliers</w:t>
      </w:r>
      <w:r w:rsidR="008C7B7A">
        <w:rPr>
          <w:lang w:val="fr-FR"/>
        </w:rPr>
        <w:t xml:space="preserve"> concernant ses déplacements dans l</w:t>
      </w:r>
      <w:r w:rsidR="005A6B8A">
        <w:rPr>
          <w:lang w:val="fr-FR"/>
        </w:rPr>
        <w:t>’</w:t>
      </w:r>
      <w:r w:rsidR="008C7B7A">
        <w:rPr>
          <w:lang w:val="fr-FR"/>
        </w:rPr>
        <w:t>établissement</w:t>
      </w:r>
      <w:r w:rsidR="0020600E">
        <w:rPr>
          <w:lang w:val="fr-FR"/>
        </w:rPr>
        <w:t xml:space="preserve"> qui atteignent le seuil de gravité nécessaire pour</w:t>
      </w:r>
      <w:r w:rsidR="00AC3734">
        <w:rPr>
          <w:lang w:val="fr-FR"/>
        </w:rPr>
        <w:t xml:space="preserve"> que</w:t>
      </w:r>
      <w:r w:rsidR="0020600E">
        <w:rPr>
          <w:lang w:val="fr-FR"/>
        </w:rPr>
        <w:t xml:space="preserve"> l</w:t>
      </w:r>
      <w:r w:rsidR="005A6B8A">
        <w:rPr>
          <w:lang w:val="fr-FR"/>
        </w:rPr>
        <w:t>’</w:t>
      </w:r>
      <w:r w:rsidR="0020600E">
        <w:rPr>
          <w:lang w:val="fr-FR"/>
        </w:rPr>
        <w:t>article 3 entre en jeu</w:t>
      </w:r>
      <w:r w:rsidR="005A2732">
        <w:rPr>
          <w:lang w:val="fr-FR"/>
        </w:rPr>
        <w:t xml:space="preserve">, </w:t>
      </w:r>
      <w:r w:rsidR="004A2A5E">
        <w:rPr>
          <w:lang w:val="fr-FR"/>
        </w:rPr>
        <w:t>y compris</w:t>
      </w:r>
      <w:r w:rsidR="00D50341">
        <w:rPr>
          <w:lang w:val="fr-FR"/>
        </w:rPr>
        <w:t xml:space="preserve"> quant à l</w:t>
      </w:r>
      <w:r w:rsidR="005A6B8A">
        <w:rPr>
          <w:lang w:val="fr-FR"/>
        </w:rPr>
        <w:t>’</w:t>
      </w:r>
      <w:r w:rsidR="00D50341">
        <w:rPr>
          <w:lang w:val="fr-FR"/>
        </w:rPr>
        <w:t>accès à la promenade et à l</w:t>
      </w:r>
      <w:r w:rsidR="005A6B8A">
        <w:rPr>
          <w:lang w:val="fr-FR"/>
        </w:rPr>
        <w:t>’</w:t>
      </w:r>
      <w:r w:rsidR="00D50341">
        <w:rPr>
          <w:lang w:val="fr-FR"/>
        </w:rPr>
        <w:t>air libre.</w:t>
      </w:r>
    </w:p>
    <w:p w:rsidR="00067570" w:rsidRDefault="00CD39D3"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60</w:t>
      </w:r>
      <w:r>
        <w:rPr>
          <w:lang w:val="fr-FR"/>
        </w:rPr>
        <w:fldChar w:fldCharType="end"/>
      </w:r>
      <w:r>
        <w:rPr>
          <w:lang w:val="fr-FR"/>
        </w:rPr>
        <w:t>.  </w:t>
      </w:r>
      <w:r w:rsidR="00526787">
        <w:rPr>
          <w:lang w:val="fr-FR"/>
        </w:rPr>
        <w:t>La Cour doit encore</w:t>
      </w:r>
      <w:r w:rsidR="00CD2860">
        <w:rPr>
          <w:lang w:val="fr-FR"/>
        </w:rPr>
        <w:t xml:space="preserve"> examiner </w:t>
      </w:r>
      <w:r w:rsidR="005A4AC9">
        <w:rPr>
          <w:lang w:val="fr-FR"/>
        </w:rPr>
        <w:t xml:space="preserve">la partie du grief concernant les fouilles auxquelles </w:t>
      </w:r>
      <w:r w:rsidR="00526787">
        <w:rPr>
          <w:lang w:val="fr-FR"/>
        </w:rPr>
        <w:t>le requérant</w:t>
      </w:r>
      <w:r w:rsidR="005A4AC9">
        <w:rPr>
          <w:lang w:val="fr-FR"/>
        </w:rPr>
        <w:t xml:space="preserve"> a été </w:t>
      </w:r>
      <w:r w:rsidR="00526787">
        <w:rPr>
          <w:lang w:val="fr-FR"/>
        </w:rPr>
        <w:t>soumis</w:t>
      </w:r>
      <w:r w:rsidR="005A4AC9">
        <w:rPr>
          <w:lang w:val="fr-FR"/>
        </w:rPr>
        <w:t xml:space="preserve"> </w:t>
      </w:r>
      <w:r>
        <w:rPr>
          <w:lang w:val="fr-FR"/>
        </w:rPr>
        <w:t>ainsi que les mesures prises lors des ext</w:t>
      </w:r>
      <w:r w:rsidR="00B46891">
        <w:rPr>
          <w:lang w:val="fr-FR"/>
        </w:rPr>
        <w:t>ractions médicales qui constituent,</w:t>
      </w:r>
      <w:r>
        <w:rPr>
          <w:lang w:val="fr-FR"/>
        </w:rPr>
        <w:t xml:space="preserve"> selon le requérant</w:t>
      </w:r>
      <w:r w:rsidR="00B46891">
        <w:rPr>
          <w:lang w:val="fr-FR"/>
        </w:rPr>
        <w:t>, des humiliations à répétition</w:t>
      </w:r>
      <w:r w:rsidR="00420942">
        <w:rPr>
          <w:lang w:val="fr-FR"/>
        </w:rPr>
        <w:t>,</w:t>
      </w:r>
      <w:r>
        <w:rPr>
          <w:lang w:val="fr-FR"/>
        </w:rPr>
        <w:t xml:space="preserve"> </w:t>
      </w:r>
      <w:r w:rsidR="00F579D4">
        <w:rPr>
          <w:lang w:val="fr-FR"/>
        </w:rPr>
        <w:t>ainsi que</w:t>
      </w:r>
      <w:r w:rsidR="005A4AC9">
        <w:rPr>
          <w:lang w:val="fr-FR"/>
        </w:rPr>
        <w:t xml:space="preserve"> </w:t>
      </w:r>
      <w:r w:rsidR="00CD2860">
        <w:rPr>
          <w:lang w:val="fr-FR"/>
        </w:rPr>
        <w:t>l</w:t>
      </w:r>
      <w:r w:rsidR="005A6B8A">
        <w:rPr>
          <w:lang w:val="fr-FR"/>
        </w:rPr>
        <w:t>’</w:t>
      </w:r>
      <w:r w:rsidR="00CD2860">
        <w:rPr>
          <w:lang w:val="fr-FR"/>
        </w:rPr>
        <w:t>accès aux douches</w:t>
      </w:r>
      <w:r w:rsidR="008B6064">
        <w:rPr>
          <w:lang w:val="fr-FR"/>
        </w:rPr>
        <w:t xml:space="preserve"> et</w:t>
      </w:r>
      <w:r w:rsidR="00CD2860">
        <w:rPr>
          <w:lang w:val="fr-FR"/>
        </w:rPr>
        <w:t xml:space="preserve"> </w:t>
      </w:r>
      <w:r w:rsidR="00465FAF">
        <w:rPr>
          <w:lang w:val="fr-FR"/>
        </w:rPr>
        <w:t>l</w:t>
      </w:r>
      <w:r w:rsidR="005A6B8A">
        <w:rPr>
          <w:lang w:val="fr-FR"/>
        </w:rPr>
        <w:t>’</w:t>
      </w:r>
      <w:r w:rsidR="00465FAF">
        <w:rPr>
          <w:lang w:val="fr-FR"/>
        </w:rPr>
        <w:t>organisatio</w:t>
      </w:r>
      <w:r w:rsidR="00CD2860">
        <w:rPr>
          <w:lang w:val="fr-FR"/>
        </w:rPr>
        <w:t>n de la dépendance du requérant.</w:t>
      </w:r>
    </w:p>
    <w:p w:rsidR="00CD2860" w:rsidRPr="00200584" w:rsidRDefault="00420942" w:rsidP="00EA769E">
      <w:pPr>
        <w:pStyle w:val="ECHRPara"/>
        <w:rPr>
          <w:i/>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61</w:t>
      </w:r>
      <w:r>
        <w:rPr>
          <w:lang w:val="fr-FR"/>
        </w:rPr>
        <w:fldChar w:fldCharType="end"/>
      </w:r>
      <w:r>
        <w:rPr>
          <w:lang w:val="fr-FR"/>
        </w:rPr>
        <w:t>.  </w:t>
      </w:r>
      <w:r w:rsidRPr="00420942">
        <w:rPr>
          <w:lang w:val="fr-FR"/>
        </w:rPr>
        <w:t>S</w:t>
      </w:r>
      <w:r w:rsidR="005A6B8A">
        <w:rPr>
          <w:lang w:val="fr-FR"/>
        </w:rPr>
        <w:t>’</w:t>
      </w:r>
      <w:r w:rsidRPr="00420942">
        <w:rPr>
          <w:lang w:val="fr-FR"/>
        </w:rPr>
        <w:t xml:space="preserve">agissant en premier lieu des fouilles corporelles, </w:t>
      </w:r>
      <w:r>
        <w:rPr>
          <w:lang w:val="fr-FR"/>
        </w:rPr>
        <w:t>et des mesures de sécurité imposées lors des transferts du requérant à l</w:t>
      </w:r>
      <w:r w:rsidR="005A6B8A">
        <w:rPr>
          <w:lang w:val="fr-FR"/>
        </w:rPr>
        <w:t>’</w:t>
      </w:r>
      <w:r>
        <w:rPr>
          <w:lang w:val="fr-FR"/>
        </w:rPr>
        <w:t>hôpital, la Cour souligne que le requérant ne s</w:t>
      </w:r>
      <w:r w:rsidR="005A6B8A">
        <w:rPr>
          <w:lang w:val="fr-FR"/>
        </w:rPr>
        <w:t>’</w:t>
      </w:r>
      <w:r>
        <w:rPr>
          <w:lang w:val="fr-FR"/>
        </w:rPr>
        <w:t>en était pas plaint dans son formulaire de requête initiale et que cette question n</w:t>
      </w:r>
      <w:r w:rsidR="005A6B8A">
        <w:rPr>
          <w:lang w:val="fr-FR"/>
        </w:rPr>
        <w:t>’</w:t>
      </w:r>
      <w:r>
        <w:rPr>
          <w:lang w:val="fr-FR"/>
        </w:rPr>
        <w:t>a été soulevée que dans ses observations</w:t>
      </w:r>
      <w:r w:rsidR="00B4294C">
        <w:rPr>
          <w:lang w:val="fr-FR"/>
        </w:rPr>
        <w:t>,</w:t>
      </w:r>
      <w:r>
        <w:rPr>
          <w:lang w:val="fr-FR"/>
        </w:rPr>
        <w:t xml:space="preserve"> auxquel</w:t>
      </w:r>
      <w:r w:rsidR="00F579D4">
        <w:rPr>
          <w:lang w:val="fr-FR"/>
        </w:rPr>
        <w:t>le</w:t>
      </w:r>
      <w:r>
        <w:rPr>
          <w:lang w:val="fr-FR"/>
        </w:rPr>
        <w:t>s le Gouvernement a répliqué</w:t>
      </w:r>
      <w:r w:rsidR="00F579D4">
        <w:rPr>
          <w:lang w:val="fr-FR"/>
        </w:rPr>
        <w:t xml:space="preserve"> en apportant des précisions sur leur fréquence et leur motif</w:t>
      </w:r>
      <w:r w:rsidR="00B4294C">
        <w:rPr>
          <w:lang w:val="fr-FR"/>
        </w:rPr>
        <w:t xml:space="preserve"> (paragraphe</w:t>
      </w:r>
      <w:r w:rsidR="00AC3734">
        <w:rPr>
          <w:lang w:val="fr-FR"/>
        </w:rPr>
        <w:t xml:space="preserve"> 2</w:t>
      </w:r>
      <w:r w:rsidR="00545953">
        <w:rPr>
          <w:lang w:val="fr-FR"/>
        </w:rPr>
        <w:t>0</w:t>
      </w:r>
      <w:r w:rsidR="00AC3734">
        <w:rPr>
          <w:lang w:val="fr-FR"/>
        </w:rPr>
        <w:t xml:space="preserve"> </w:t>
      </w:r>
      <w:r w:rsidR="00B4294C">
        <w:rPr>
          <w:lang w:val="fr-FR"/>
        </w:rPr>
        <w:t>ci-dessus)</w:t>
      </w:r>
      <w:r w:rsidR="00F579D4">
        <w:rPr>
          <w:lang w:val="fr-FR"/>
        </w:rPr>
        <w:t xml:space="preserve">. </w:t>
      </w:r>
      <w:r w:rsidR="00AC3734">
        <w:rPr>
          <w:lang w:val="fr-FR"/>
        </w:rPr>
        <w:t>Elle</w:t>
      </w:r>
      <w:r w:rsidR="0060121F">
        <w:rPr>
          <w:lang w:val="fr-FR"/>
        </w:rPr>
        <w:t xml:space="preserve"> a déjà reconnu</w:t>
      </w:r>
      <w:r w:rsidR="008B6064">
        <w:rPr>
          <w:lang w:val="fr-FR"/>
        </w:rPr>
        <w:t xml:space="preserve"> que d</w:t>
      </w:r>
      <w:r w:rsidR="00F579D4">
        <w:rPr>
          <w:lang w:val="fr-FR"/>
        </w:rPr>
        <w:t>es mesures</w:t>
      </w:r>
      <w:r w:rsidR="008B6064">
        <w:rPr>
          <w:lang w:val="fr-FR"/>
        </w:rPr>
        <w:t xml:space="preserve"> de cette nature</w:t>
      </w:r>
      <w:r w:rsidR="0060121F">
        <w:rPr>
          <w:lang w:val="fr-FR"/>
        </w:rPr>
        <w:t xml:space="preserve"> peuvent</w:t>
      </w:r>
      <w:r w:rsidR="00F579D4">
        <w:rPr>
          <w:lang w:val="fr-FR"/>
        </w:rPr>
        <w:t xml:space="preserve"> atteindre le seuil de gravité requis par l</w:t>
      </w:r>
      <w:r w:rsidR="005A6B8A">
        <w:rPr>
          <w:lang w:val="fr-FR"/>
        </w:rPr>
        <w:t>’</w:t>
      </w:r>
      <w:r w:rsidR="00F579D4">
        <w:rPr>
          <w:lang w:val="fr-FR"/>
        </w:rPr>
        <w:t>article 3 pour constituer un traitement dégra</w:t>
      </w:r>
      <w:r w:rsidR="0060121F">
        <w:rPr>
          <w:lang w:val="fr-FR"/>
        </w:rPr>
        <w:t>dant ou inhumain (</w:t>
      </w:r>
      <w:r w:rsidR="00200584" w:rsidRPr="00200584">
        <w:rPr>
          <w:i/>
          <w:lang w:val="fr-FR"/>
        </w:rPr>
        <w:t>Khider</w:t>
      </w:r>
      <w:r w:rsidR="00F532A5">
        <w:rPr>
          <w:snapToGrid w:val="0"/>
          <w:lang w:val="fr-FR"/>
        </w:rPr>
        <w:t>, précité</w:t>
      </w:r>
      <w:r w:rsidR="00200584">
        <w:rPr>
          <w:snapToGrid w:val="0"/>
          <w:lang w:val="fr-FR"/>
        </w:rPr>
        <w:t xml:space="preserve">; </w:t>
      </w:r>
      <w:r w:rsidR="00200584" w:rsidRPr="0060121F">
        <w:rPr>
          <w:i/>
          <w:lang w:val="fr-FR"/>
        </w:rPr>
        <w:t>El Shennawy c. France</w:t>
      </w:r>
      <w:r w:rsidR="00200584" w:rsidRPr="0060121F">
        <w:rPr>
          <w:lang w:val="fr-FR"/>
        </w:rPr>
        <w:t>, n</w:t>
      </w:r>
      <w:r w:rsidR="00200584" w:rsidRPr="0060121F">
        <w:rPr>
          <w:vertAlign w:val="superscript"/>
          <w:lang w:val="fr-FR"/>
        </w:rPr>
        <w:t>o</w:t>
      </w:r>
      <w:r w:rsidR="00FF7F1B">
        <w:rPr>
          <w:lang w:val="fr-FR"/>
        </w:rPr>
        <w:t> </w:t>
      </w:r>
      <w:r w:rsidR="00200584" w:rsidRPr="0060121F">
        <w:rPr>
          <w:lang w:val="fr-FR"/>
        </w:rPr>
        <w:t>51246/08</w:t>
      </w:r>
      <w:r w:rsidR="00200584" w:rsidRPr="0060121F">
        <w:rPr>
          <w:snapToGrid w:val="0"/>
          <w:lang w:val="fr-FR"/>
        </w:rPr>
        <w:t xml:space="preserve">, </w:t>
      </w:r>
      <w:r w:rsidR="00200584">
        <w:rPr>
          <w:snapToGrid w:val="0"/>
          <w:lang w:val="fr-FR"/>
        </w:rPr>
        <w:t>2</w:t>
      </w:r>
      <w:r w:rsidR="00200584" w:rsidRPr="0060121F">
        <w:rPr>
          <w:snapToGrid w:val="0"/>
          <w:lang w:val="fr-FR"/>
        </w:rPr>
        <w:t xml:space="preserve">0 </w:t>
      </w:r>
      <w:r w:rsidR="00200584" w:rsidRPr="0060121F">
        <w:rPr>
          <w:lang w:val="fr-FR"/>
        </w:rPr>
        <w:t>janvier</w:t>
      </w:r>
      <w:r w:rsidR="00200584" w:rsidRPr="0060121F">
        <w:rPr>
          <w:snapToGrid w:val="0"/>
          <w:lang w:val="fr-FR"/>
        </w:rPr>
        <w:t xml:space="preserve"> 2011</w:t>
      </w:r>
      <w:r w:rsidR="00200584">
        <w:rPr>
          <w:snapToGrid w:val="0"/>
          <w:lang w:val="fr-FR"/>
        </w:rPr>
        <w:t xml:space="preserve"> ; </w:t>
      </w:r>
      <w:r w:rsidR="0060121F" w:rsidRPr="0060121F">
        <w:rPr>
          <w:i/>
          <w:lang w:val="fr-FR"/>
        </w:rPr>
        <w:t>Duval</w:t>
      </w:r>
      <w:r w:rsidR="009C217B">
        <w:rPr>
          <w:i/>
          <w:lang w:val="fr-FR"/>
        </w:rPr>
        <w:t>,</w:t>
      </w:r>
      <w:r w:rsidR="009C217B" w:rsidRPr="009C217B">
        <w:rPr>
          <w:lang w:val="fr-FR"/>
        </w:rPr>
        <w:t xml:space="preserve"> précité</w:t>
      </w:r>
      <w:r w:rsidR="0060121F" w:rsidRPr="009C217B">
        <w:rPr>
          <w:snapToGrid w:val="0"/>
          <w:lang w:val="fr-FR"/>
        </w:rPr>
        <w:t>)</w:t>
      </w:r>
      <w:r w:rsidR="0060121F">
        <w:rPr>
          <w:snapToGrid w:val="0"/>
          <w:lang w:val="fr-FR"/>
        </w:rPr>
        <w:t>, mais elle estime que tel n</w:t>
      </w:r>
      <w:r w:rsidR="005A6B8A">
        <w:rPr>
          <w:snapToGrid w:val="0"/>
          <w:lang w:val="fr-FR"/>
        </w:rPr>
        <w:t>’</w:t>
      </w:r>
      <w:r w:rsidR="0060121F">
        <w:rPr>
          <w:snapToGrid w:val="0"/>
          <w:lang w:val="fr-FR"/>
        </w:rPr>
        <w:t>est pas le cas en l</w:t>
      </w:r>
      <w:r w:rsidR="005A6B8A">
        <w:rPr>
          <w:snapToGrid w:val="0"/>
          <w:lang w:val="fr-FR"/>
        </w:rPr>
        <w:t>’</w:t>
      </w:r>
      <w:r w:rsidR="0060121F">
        <w:rPr>
          <w:snapToGrid w:val="0"/>
          <w:lang w:val="fr-FR"/>
        </w:rPr>
        <w:t xml:space="preserve">espèce. </w:t>
      </w:r>
      <w:r w:rsidR="00FB056C">
        <w:rPr>
          <w:snapToGrid w:val="0"/>
          <w:lang w:val="fr-FR"/>
        </w:rPr>
        <w:t xml:space="preserve">Il ressort </w:t>
      </w:r>
      <w:r w:rsidR="008B6064">
        <w:rPr>
          <w:snapToGrid w:val="0"/>
          <w:lang w:val="fr-FR"/>
        </w:rPr>
        <w:t xml:space="preserve">en effet </w:t>
      </w:r>
      <w:r w:rsidR="00FB056C">
        <w:rPr>
          <w:snapToGrid w:val="0"/>
          <w:lang w:val="fr-FR"/>
        </w:rPr>
        <w:t>des observations complémentaires du Gouvernement</w:t>
      </w:r>
      <w:r w:rsidR="003C2654">
        <w:rPr>
          <w:snapToGrid w:val="0"/>
          <w:lang w:val="fr-FR"/>
        </w:rPr>
        <w:t xml:space="preserve"> </w:t>
      </w:r>
      <w:r w:rsidR="00F866D9">
        <w:rPr>
          <w:snapToGrid w:val="0"/>
          <w:lang w:val="fr-FR"/>
        </w:rPr>
        <w:t>sur ce point</w:t>
      </w:r>
      <w:r w:rsidR="00FB056C">
        <w:rPr>
          <w:snapToGrid w:val="0"/>
          <w:lang w:val="fr-FR"/>
        </w:rPr>
        <w:t xml:space="preserve"> </w:t>
      </w:r>
      <w:r w:rsidR="003C2654">
        <w:rPr>
          <w:snapToGrid w:val="0"/>
          <w:lang w:val="fr-FR"/>
        </w:rPr>
        <w:t>que les fouilles n</w:t>
      </w:r>
      <w:r w:rsidR="005A6B8A">
        <w:rPr>
          <w:snapToGrid w:val="0"/>
          <w:lang w:val="fr-FR"/>
        </w:rPr>
        <w:t>’</w:t>
      </w:r>
      <w:r w:rsidR="003C2654">
        <w:rPr>
          <w:snapToGrid w:val="0"/>
          <w:lang w:val="fr-FR"/>
        </w:rPr>
        <w:t>ont pas été systématiques mais</w:t>
      </w:r>
      <w:r w:rsidR="002A0A8D">
        <w:rPr>
          <w:snapToGrid w:val="0"/>
          <w:lang w:val="fr-FR"/>
        </w:rPr>
        <w:t xml:space="preserve"> qu</w:t>
      </w:r>
      <w:r w:rsidR="005A6B8A">
        <w:rPr>
          <w:snapToGrid w:val="0"/>
          <w:lang w:val="fr-FR"/>
        </w:rPr>
        <w:t>’</w:t>
      </w:r>
      <w:r w:rsidR="002A0A8D">
        <w:rPr>
          <w:snapToGrid w:val="0"/>
          <w:lang w:val="fr-FR"/>
        </w:rPr>
        <w:t>elles ont été pratiquées à des moments précis de la détention du requérant</w:t>
      </w:r>
      <w:r w:rsidR="002A0A8D">
        <w:rPr>
          <w:lang w:val="fr-FR"/>
        </w:rPr>
        <w:t xml:space="preserve"> et</w:t>
      </w:r>
      <w:r w:rsidR="008B6064">
        <w:rPr>
          <w:lang w:val="fr-FR"/>
        </w:rPr>
        <w:t>, pour certaines d</w:t>
      </w:r>
      <w:r w:rsidR="005A6B8A">
        <w:rPr>
          <w:lang w:val="fr-FR"/>
        </w:rPr>
        <w:t>’</w:t>
      </w:r>
      <w:r w:rsidR="008B6064">
        <w:rPr>
          <w:lang w:val="fr-FR"/>
        </w:rPr>
        <w:t>entre elles, ont concerné l</w:t>
      </w:r>
      <w:r w:rsidR="005A6B8A">
        <w:rPr>
          <w:lang w:val="fr-FR"/>
        </w:rPr>
        <w:t>’</w:t>
      </w:r>
      <w:r w:rsidR="008B6064">
        <w:rPr>
          <w:lang w:val="fr-FR"/>
        </w:rPr>
        <w:t>ensemble</w:t>
      </w:r>
      <w:r w:rsidR="002A0A8D">
        <w:rPr>
          <w:lang w:val="fr-FR"/>
        </w:rPr>
        <w:t xml:space="preserve"> de la population carcérale de l</w:t>
      </w:r>
      <w:r w:rsidR="005A6B8A">
        <w:rPr>
          <w:lang w:val="fr-FR"/>
        </w:rPr>
        <w:t>’</w:t>
      </w:r>
      <w:r w:rsidR="002A0A8D">
        <w:rPr>
          <w:lang w:val="fr-FR"/>
        </w:rPr>
        <w:t xml:space="preserve">établissement. </w:t>
      </w:r>
      <w:r w:rsidR="008B6064">
        <w:rPr>
          <w:lang w:val="fr-FR"/>
        </w:rPr>
        <w:t>Par ailleurs</w:t>
      </w:r>
      <w:r w:rsidR="00F866D9">
        <w:rPr>
          <w:lang w:val="fr-FR"/>
        </w:rPr>
        <w:t xml:space="preserve">, seules deux décisions </w:t>
      </w:r>
      <w:r w:rsidR="00200584">
        <w:rPr>
          <w:lang w:val="fr-FR"/>
        </w:rPr>
        <w:t>de fouilles lors d</w:t>
      </w:r>
      <w:r w:rsidR="005A6B8A">
        <w:rPr>
          <w:lang w:val="fr-FR"/>
        </w:rPr>
        <w:t>’</w:t>
      </w:r>
      <w:r w:rsidR="00200584">
        <w:rPr>
          <w:lang w:val="fr-FR"/>
        </w:rPr>
        <w:t>extractions</w:t>
      </w:r>
      <w:r w:rsidR="00F866D9">
        <w:rPr>
          <w:lang w:val="fr-FR"/>
        </w:rPr>
        <w:t xml:space="preserve"> médicales sont</w:t>
      </w:r>
      <w:r w:rsidR="00200584">
        <w:rPr>
          <w:lang w:val="fr-FR"/>
        </w:rPr>
        <w:t xml:space="preserve"> produites au dossier. </w:t>
      </w:r>
      <w:r w:rsidR="002A0A8D">
        <w:rPr>
          <w:lang w:val="fr-FR"/>
        </w:rPr>
        <w:t>Eu égard aux justifications apportées par le Gouvernement sur ces mesures ponctuelles</w:t>
      </w:r>
      <w:r w:rsidR="003F2FFF">
        <w:rPr>
          <w:lang w:val="fr-FR"/>
        </w:rPr>
        <w:t xml:space="preserve"> (paragraphe 2</w:t>
      </w:r>
      <w:r w:rsidR="00545953">
        <w:rPr>
          <w:lang w:val="fr-FR"/>
        </w:rPr>
        <w:t>0</w:t>
      </w:r>
      <w:r w:rsidR="003F2FFF">
        <w:rPr>
          <w:lang w:val="fr-FR"/>
        </w:rPr>
        <w:t xml:space="preserve"> ci-dessus)</w:t>
      </w:r>
      <w:r w:rsidR="002A0A8D">
        <w:rPr>
          <w:lang w:val="fr-FR"/>
        </w:rPr>
        <w:t>,</w:t>
      </w:r>
      <w:r w:rsidR="00F866D9">
        <w:rPr>
          <w:lang w:val="fr-FR"/>
        </w:rPr>
        <w:t xml:space="preserve"> </w:t>
      </w:r>
      <w:r w:rsidR="008B6064">
        <w:rPr>
          <w:lang w:val="fr-FR"/>
        </w:rPr>
        <w:t xml:space="preserve">qui </w:t>
      </w:r>
      <w:r w:rsidR="00F866D9">
        <w:rPr>
          <w:lang w:val="fr-FR"/>
        </w:rPr>
        <w:t>ne visa</w:t>
      </w:r>
      <w:r w:rsidR="008B6064">
        <w:rPr>
          <w:lang w:val="fr-FR"/>
        </w:rPr>
        <w:t>ie</w:t>
      </w:r>
      <w:r w:rsidR="00F866D9">
        <w:rPr>
          <w:lang w:val="fr-FR"/>
        </w:rPr>
        <w:t xml:space="preserve">nt </w:t>
      </w:r>
      <w:r w:rsidR="00D22F6D">
        <w:rPr>
          <w:lang w:val="fr-FR"/>
        </w:rPr>
        <w:t xml:space="preserve">pas toujours le </w:t>
      </w:r>
      <w:r w:rsidR="008B6064">
        <w:rPr>
          <w:lang w:val="fr-FR"/>
        </w:rPr>
        <w:t xml:space="preserve">seul </w:t>
      </w:r>
      <w:r w:rsidR="00D22F6D">
        <w:rPr>
          <w:lang w:val="fr-FR"/>
        </w:rPr>
        <w:t xml:space="preserve">requérant, </w:t>
      </w:r>
      <w:r w:rsidR="002A0A8D">
        <w:rPr>
          <w:lang w:val="fr-FR"/>
        </w:rPr>
        <w:t>la Cour est d</w:t>
      </w:r>
      <w:r w:rsidR="005A6B8A">
        <w:rPr>
          <w:lang w:val="fr-FR"/>
        </w:rPr>
        <w:t>’</w:t>
      </w:r>
      <w:r w:rsidR="002A0A8D">
        <w:rPr>
          <w:lang w:val="fr-FR"/>
        </w:rPr>
        <w:t>avis</w:t>
      </w:r>
      <w:r w:rsidR="00D22F6D">
        <w:rPr>
          <w:lang w:val="fr-FR"/>
        </w:rPr>
        <w:t xml:space="preserve">, </w:t>
      </w:r>
      <w:r w:rsidR="008B6064">
        <w:rPr>
          <w:lang w:val="fr-FR"/>
        </w:rPr>
        <w:t>malgré</w:t>
      </w:r>
      <w:r w:rsidR="00D22F6D">
        <w:rPr>
          <w:lang w:val="fr-FR"/>
        </w:rPr>
        <w:t xml:space="preserve"> </w:t>
      </w:r>
      <w:r w:rsidR="00B4294C">
        <w:rPr>
          <w:lang w:val="fr-FR"/>
        </w:rPr>
        <w:t>leur caractère éprouvant, qu</w:t>
      </w:r>
      <w:r w:rsidR="005A6B8A">
        <w:rPr>
          <w:lang w:val="fr-FR"/>
        </w:rPr>
        <w:t>’</w:t>
      </w:r>
      <w:r w:rsidR="00B4294C">
        <w:rPr>
          <w:lang w:val="fr-FR"/>
        </w:rPr>
        <w:t>elles n</w:t>
      </w:r>
      <w:r w:rsidR="005A6B8A">
        <w:rPr>
          <w:lang w:val="fr-FR"/>
        </w:rPr>
        <w:t>’</w:t>
      </w:r>
      <w:r w:rsidR="00B4294C">
        <w:rPr>
          <w:lang w:val="fr-FR"/>
        </w:rPr>
        <w:t xml:space="preserve">apparaissent pas atteindre le seuil de gravité nécessaire pour </w:t>
      </w:r>
      <w:r w:rsidR="00200584">
        <w:rPr>
          <w:lang w:val="fr-FR"/>
        </w:rPr>
        <w:t xml:space="preserve">que </w:t>
      </w:r>
      <w:r w:rsidR="00B4294C">
        <w:rPr>
          <w:lang w:val="fr-FR"/>
        </w:rPr>
        <w:t>l</w:t>
      </w:r>
      <w:r w:rsidR="005A6B8A">
        <w:rPr>
          <w:lang w:val="fr-FR"/>
        </w:rPr>
        <w:t>’</w:t>
      </w:r>
      <w:r w:rsidR="00B4294C">
        <w:rPr>
          <w:lang w:val="fr-FR"/>
        </w:rPr>
        <w:t>article 3 entre en jeu.</w:t>
      </w:r>
      <w:r w:rsidR="00D22F6D">
        <w:rPr>
          <w:lang w:val="fr-FR"/>
        </w:rPr>
        <w:t xml:space="preserve"> </w:t>
      </w:r>
      <w:r w:rsidR="008B6064">
        <w:rPr>
          <w:lang w:val="fr-FR"/>
        </w:rPr>
        <w:t>La Cour observe à ce titre</w:t>
      </w:r>
      <w:r w:rsidR="00B4294C">
        <w:rPr>
          <w:lang w:val="fr-FR"/>
        </w:rPr>
        <w:t xml:space="preserve"> que les conditions de transfert et</w:t>
      </w:r>
      <w:r w:rsidR="008B6064">
        <w:rPr>
          <w:lang w:val="fr-FR"/>
        </w:rPr>
        <w:t xml:space="preserve"> les modalités</w:t>
      </w:r>
      <w:r w:rsidR="00B4294C">
        <w:rPr>
          <w:lang w:val="fr-FR"/>
        </w:rPr>
        <w:t xml:space="preserve"> des fouilles dénoncées en l</w:t>
      </w:r>
      <w:r w:rsidR="005A6B8A">
        <w:rPr>
          <w:lang w:val="fr-FR"/>
        </w:rPr>
        <w:t>’</w:t>
      </w:r>
      <w:r w:rsidR="00B4294C">
        <w:rPr>
          <w:lang w:val="fr-FR"/>
        </w:rPr>
        <w:t>espèce n</w:t>
      </w:r>
      <w:r w:rsidR="005A6B8A">
        <w:rPr>
          <w:lang w:val="fr-FR"/>
        </w:rPr>
        <w:t>’</w:t>
      </w:r>
      <w:r w:rsidR="00B4294C">
        <w:rPr>
          <w:lang w:val="fr-FR"/>
        </w:rPr>
        <w:t>ont</w:t>
      </w:r>
      <w:r w:rsidR="00200584">
        <w:rPr>
          <w:lang w:val="fr-FR"/>
        </w:rPr>
        <w:t xml:space="preserve"> </w:t>
      </w:r>
      <w:r w:rsidR="00B4294C">
        <w:rPr>
          <w:lang w:val="fr-FR"/>
        </w:rPr>
        <w:t>pas de commune mesure avec celles observées dans d</w:t>
      </w:r>
      <w:r w:rsidR="005A6B8A">
        <w:rPr>
          <w:lang w:val="fr-FR"/>
        </w:rPr>
        <w:t>’</w:t>
      </w:r>
      <w:r w:rsidR="00B4294C">
        <w:rPr>
          <w:lang w:val="fr-FR"/>
        </w:rPr>
        <w:t>autres affaires comparables (</w:t>
      </w:r>
      <w:r w:rsidR="00B4294C" w:rsidRPr="00B4294C">
        <w:rPr>
          <w:i/>
          <w:lang w:val="fr-FR"/>
        </w:rPr>
        <w:t>Duval</w:t>
      </w:r>
      <w:r w:rsidR="00B4294C">
        <w:rPr>
          <w:lang w:val="fr-FR"/>
        </w:rPr>
        <w:t xml:space="preserve"> et </w:t>
      </w:r>
      <w:r w:rsidR="00B4294C" w:rsidRPr="00B4294C">
        <w:rPr>
          <w:i/>
          <w:lang w:val="fr-FR"/>
        </w:rPr>
        <w:t>El Shenaw</w:t>
      </w:r>
      <w:r w:rsidR="00B4294C">
        <w:rPr>
          <w:i/>
          <w:lang w:val="fr-FR"/>
        </w:rPr>
        <w:t>y</w:t>
      </w:r>
      <w:r w:rsidR="00B4294C">
        <w:rPr>
          <w:lang w:val="fr-FR"/>
        </w:rPr>
        <w:t xml:space="preserve"> précités ; </w:t>
      </w:r>
      <w:r w:rsidR="00B4294C" w:rsidRPr="00B4294C">
        <w:rPr>
          <w:i/>
          <w:lang w:val="fr-FR"/>
        </w:rPr>
        <w:t>Mouisel</w:t>
      </w:r>
      <w:r w:rsidR="00B4294C">
        <w:rPr>
          <w:lang w:val="fr-FR"/>
        </w:rPr>
        <w:t xml:space="preserve">, précité, §§ 46 et 47 ; </w:t>
      </w:r>
      <w:r w:rsidR="00B4294C" w:rsidRPr="00B4294C">
        <w:rPr>
          <w:i/>
          <w:lang w:val="fr-FR"/>
        </w:rPr>
        <w:t>Henaf c. France</w:t>
      </w:r>
      <w:r w:rsidR="00B4294C" w:rsidRPr="00B4294C">
        <w:rPr>
          <w:lang w:val="fr-FR"/>
        </w:rPr>
        <w:t>, n</w:t>
      </w:r>
      <w:r w:rsidR="00B4294C" w:rsidRPr="00B4294C">
        <w:rPr>
          <w:vertAlign w:val="superscript"/>
          <w:lang w:val="fr-FR"/>
        </w:rPr>
        <w:t>o</w:t>
      </w:r>
      <w:r w:rsidR="00B4294C" w:rsidRPr="00B4294C">
        <w:rPr>
          <w:lang w:val="fr-FR"/>
        </w:rPr>
        <w:t xml:space="preserve"> 65436/01, §</w:t>
      </w:r>
      <w:r w:rsidR="00FF7F1B">
        <w:rPr>
          <w:lang w:val="fr-FR"/>
        </w:rPr>
        <w:t>§ </w:t>
      </w:r>
      <w:r w:rsidR="00200584">
        <w:rPr>
          <w:lang w:val="fr-FR"/>
        </w:rPr>
        <w:t>54 à 58</w:t>
      </w:r>
      <w:r w:rsidR="00B4294C" w:rsidRPr="00B4294C">
        <w:rPr>
          <w:lang w:val="fr-FR"/>
        </w:rPr>
        <w:t>, CEDH 2003</w:t>
      </w:r>
      <w:r w:rsidR="00B4294C" w:rsidRPr="00B4294C">
        <w:rPr>
          <w:lang w:val="fr-FR"/>
        </w:rPr>
        <w:noBreakHyphen/>
        <w:t>XI</w:t>
      </w:r>
      <w:r w:rsidR="00B4294C">
        <w:rPr>
          <w:lang w:val="fr-FR"/>
        </w:rPr>
        <w:t>).</w:t>
      </w:r>
    </w:p>
    <w:p w:rsidR="00100D8D" w:rsidRPr="007B0F97" w:rsidRDefault="00200584" w:rsidP="003F201D">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62</w:t>
      </w:r>
      <w:r>
        <w:rPr>
          <w:lang w:val="fr-FR"/>
        </w:rPr>
        <w:fldChar w:fldCharType="end"/>
      </w:r>
      <w:r>
        <w:rPr>
          <w:lang w:val="fr-FR"/>
        </w:rPr>
        <w:t>.  </w:t>
      </w:r>
      <w:r w:rsidR="00420942">
        <w:rPr>
          <w:lang w:val="fr-FR"/>
        </w:rPr>
        <w:t>S</w:t>
      </w:r>
      <w:r w:rsidR="005A6B8A">
        <w:rPr>
          <w:lang w:val="fr-FR"/>
        </w:rPr>
        <w:t>’</w:t>
      </w:r>
      <w:r w:rsidR="00420942">
        <w:rPr>
          <w:lang w:val="fr-FR"/>
        </w:rPr>
        <w:t>agissant en second lieu de l</w:t>
      </w:r>
      <w:r w:rsidR="005A6B8A">
        <w:rPr>
          <w:lang w:val="fr-FR"/>
        </w:rPr>
        <w:t>’</w:t>
      </w:r>
      <w:r w:rsidR="00D22F6D">
        <w:rPr>
          <w:lang w:val="fr-FR"/>
        </w:rPr>
        <w:t>accès au</w:t>
      </w:r>
      <w:r w:rsidR="00F9676F">
        <w:rPr>
          <w:lang w:val="fr-FR"/>
        </w:rPr>
        <w:t>x</w:t>
      </w:r>
      <w:r w:rsidR="00D22F6D">
        <w:rPr>
          <w:lang w:val="fr-FR"/>
        </w:rPr>
        <w:t xml:space="preserve"> sanitaire</w:t>
      </w:r>
      <w:r w:rsidR="00F9676F">
        <w:rPr>
          <w:lang w:val="fr-FR"/>
        </w:rPr>
        <w:t>s</w:t>
      </w:r>
      <w:r w:rsidR="00D22F6D">
        <w:rPr>
          <w:lang w:val="fr-FR"/>
        </w:rPr>
        <w:t>, et plus précisément à la douche,</w:t>
      </w:r>
      <w:r w:rsidR="00962DD8">
        <w:rPr>
          <w:lang w:val="fr-FR"/>
        </w:rPr>
        <w:t xml:space="preserve"> </w:t>
      </w:r>
      <w:r w:rsidR="008B6064">
        <w:rPr>
          <w:lang w:val="fr-FR"/>
        </w:rPr>
        <w:t>celle-ci</w:t>
      </w:r>
      <w:r w:rsidR="00962DD8">
        <w:rPr>
          <w:lang w:val="fr-FR"/>
        </w:rPr>
        <w:t xml:space="preserve"> </w:t>
      </w:r>
      <w:r w:rsidR="008B6064">
        <w:rPr>
          <w:lang w:val="fr-FR"/>
        </w:rPr>
        <w:t>ne se situant</w:t>
      </w:r>
      <w:r w:rsidR="00962DD8">
        <w:rPr>
          <w:lang w:val="fr-FR"/>
        </w:rPr>
        <w:t xml:space="preserve"> pas dans la cellule,</w:t>
      </w:r>
      <w:r w:rsidR="00C46558">
        <w:rPr>
          <w:lang w:val="fr-FR"/>
        </w:rPr>
        <w:t xml:space="preserve"> </w:t>
      </w:r>
      <w:r w:rsidR="00962DD8">
        <w:rPr>
          <w:lang w:val="fr-FR"/>
        </w:rPr>
        <w:t>la Cour relève que le requérant se plaint de ne pouvoir y accéder seul, mais uniquement avec l</w:t>
      </w:r>
      <w:r w:rsidR="005A6B8A">
        <w:rPr>
          <w:lang w:val="fr-FR"/>
        </w:rPr>
        <w:t>’</w:t>
      </w:r>
      <w:r w:rsidR="00962DD8">
        <w:rPr>
          <w:lang w:val="fr-FR"/>
        </w:rPr>
        <w:t>aide d</w:t>
      </w:r>
      <w:r w:rsidR="005A6B8A">
        <w:rPr>
          <w:lang w:val="fr-FR"/>
        </w:rPr>
        <w:t>’</w:t>
      </w:r>
      <w:r w:rsidR="00962DD8">
        <w:rPr>
          <w:lang w:val="fr-FR"/>
        </w:rPr>
        <w:t>un codétenu, et que cette dépendance l</w:t>
      </w:r>
      <w:r w:rsidR="005A6B8A">
        <w:rPr>
          <w:lang w:val="fr-FR"/>
        </w:rPr>
        <w:t>’</w:t>
      </w:r>
      <w:r w:rsidR="00962DD8">
        <w:rPr>
          <w:lang w:val="fr-FR"/>
        </w:rPr>
        <w:t xml:space="preserve">expose à des situations humiliantes vis-à-vis de </w:t>
      </w:r>
      <w:r>
        <w:rPr>
          <w:lang w:val="fr-FR"/>
        </w:rPr>
        <w:t xml:space="preserve">cet </w:t>
      </w:r>
      <w:r w:rsidR="00962DD8">
        <w:rPr>
          <w:lang w:val="fr-FR"/>
        </w:rPr>
        <w:t>auxiliaire et des autre</w:t>
      </w:r>
      <w:r w:rsidR="00F519A0">
        <w:rPr>
          <w:lang w:val="fr-FR"/>
        </w:rPr>
        <w:t>s</w:t>
      </w:r>
      <w:r w:rsidR="00962DD8">
        <w:rPr>
          <w:lang w:val="fr-FR"/>
        </w:rPr>
        <w:t xml:space="preserve"> détenus du fait de son incontinence.</w:t>
      </w:r>
      <w:r w:rsidR="00286061">
        <w:rPr>
          <w:lang w:val="fr-FR"/>
        </w:rPr>
        <w:t xml:space="preserve"> La Cour ne dispose pas d</w:t>
      </w:r>
      <w:r w:rsidR="005A6B8A">
        <w:rPr>
          <w:lang w:val="fr-FR"/>
        </w:rPr>
        <w:t>’</w:t>
      </w:r>
      <w:r w:rsidR="00286061">
        <w:rPr>
          <w:lang w:val="fr-FR"/>
        </w:rPr>
        <w:t>information sur la situation exacte des douches, ni sur la fréquence avec laquelle le requérant peut s</w:t>
      </w:r>
      <w:r w:rsidR="005A6B8A">
        <w:rPr>
          <w:lang w:val="fr-FR"/>
        </w:rPr>
        <w:t>’</w:t>
      </w:r>
      <w:r w:rsidR="00286061">
        <w:rPr>
          <w:lang w:val="fr-FR"/>
        </w:rPr>
        <w:t>y rendre</w:t>
      </w:r>
      <w:r w:rsidR="008B6064">
        <w:rPr>
          <w:lang w:val="fr-FR"/>
        </w:rPr>
        <w:t>. Toutefois, il</w:t>
      </w:r>
      <w:r w:rsidR="00286061">
        <w:rPr>
          <w:lang w:val="fr-FR"/>
        </w:rPr>
        <w:t xml:space="preserve"> </w:t>
      </w:r>
      <w:r w:rsidR="00EA2D41">
        <w:rPr>
          <w:lang w:val="fr-FR"/>
        </w:rPr>
        <w:t>n</w:t>
      </w:r>
      <w:r w:rsidR="005A6B8A">
        <w:rPr>
          <w:lang w:val="fr-FR"/>
        </w:rPr>
        <w:t>’</w:t>
      </w:r>
      <w:r w:rsidR="00286061">
        <w:rPr>
          <w:lang w:val="fr-FR"/>
        </w:rPr>
        <w:t>est</w:t>
      </w:r>
      <w:r w:rsidR="00EA2D41">
        <w:rPr>
          <w:lang w:val="fr-FR"/>
        </w:rPr>
        <w:t xml:space="preserve"> pas contesté</w:t>
      </w:r>
      <w:r w:rsidR="00286061">
        <w:rPr>
          <w:lang w:val="fr-FR"/>
        </w:rPr>
        <w:t xml:space="preserve"> </w:t>
      </w:r>
      <w:r w:rsidR="00DF2F94">
        <w:rPr>
          <w:lang w:val="fr-FR"/>
        </w:rPr>
        <w:t xml:space="preserve">par le Gouvernement </w:t>
      </w:r>
      <w:r w:rsidR="00286061">
        <w:rPr>
          <w:lang w:val="fr-FR"/>
        </w:rPr>
        <w:t xml:space="preserve">que </w:t>
      </w:r>
      <w:r w:rsidR="001E5673">
        <w:rPr>
          <w:lang w:val="fr-FR"/>
        </w:rPr>
        <w:t>ce</w:t>
      </w:r>
      <w:r w:rsidR="008B6064">
        <w:rPr>
          <w:lang w:val="fr-FR"/>
        </w:rPr>
        <w:t xml:space="preserve">lui-ci ne peut </w:t>
      </w:r>
      <w:r w:rsidR="003F2FFF">
        <w:rPr>
          <w:lang w:val="fr-FR"/>
        </w:rPr>
        <w:t>s</w:t>
      </w:r>
      <w:r w:rsidR="005A6B8A">
        <w:rPr>
          <w:lang w:val="fr-FR"/>
        </w:rPr>
        <w:t>’</w:t>
      </w:r>
      <w:r w:rsidR="008B6064">
        <w:rPr>
          <w:lang w:val="fr-FR"/>
        </w:rPr>
        <w:t xml:space="preserve">y </w:t>
      </w:r>
      <w:r w:rsidR="003F2FFF">
        <w:rPr>
          <w:lang w:val="fr-FR"/>
        </w:rPr>
        <w:t>rendre</w:t>
      </w:r>
      <w:r w:rsidR="008B6064">
        <w:rPr>
          <w:lang w:val="fr-FR"/>
        </w:rPr>
        <w:t xml:space="preserve"> seul</w:t>
      </w:r>
      <w:r w:rsidR="00DF2F94">
        <w:rPr>
          <w:lang w:val="fr-FR"/>
        </w:rPr>
        <w:t xml:space="preserve"> (paragraphe 2</w:t>
      </w:r>
      <w:r w:rsidR="00545953">
        <w:rPr>
          <w:lang w:val="fr-FR"/>
        </w:rPr>
        <w:t>3</w:t>
      </w:r>
      <w:r w:rsidR="00DF2F94">
        <w:rPr>
          <w:lang w:val="fr-FR"/>
        </w:rPr>
        <w:t xml:space="preserve"> ci-dessus)</w:t>
      </w:r>
      <w:r w:rsidR="0031662C">
        <w:rPr>
          <w:lang w:val="fr-FR"/>
        </w:rPr>
        <w:t xml:space="preserve"> </w:t>
      </w:r>
      <w:r w:rsidR="0031662C" w:rsidRPr="00F532A5">
        <w:rPr>
          <w:lang w:val="fr-FR"/>
        </w:rPr>
        <w:t>et qu</w:t>
      </w:r>
      <w:r w:rsidR="005A6B8A">
        <w:rPr>
          <w:lang w:val="fr-FR"/>
        </w:rPr>
        <w:t>’</w:t>
      </w:r>
      <w:r w:rsidR="0031662C" w:rsidRPr="00F532A5">
        <w:rPr>
          <w:lang w:val="fr-FR"/>
        </w:rPr>
        <w:t>elles ne sont pas aménagées pour être accessibles aux personnes à mobilité réduite</w:t>
      </w:r>
      <w:r w:rsidR="008B6064">
        <w:rPr>
          <w:lang w:val="fr-FR"/>
        </w:rPr>
        <w:t xml:space="preserve">. En outre, il se déduit </w:t>
      </w:r>
      <w:r w:rsidR="00E34B58">
        <w:rPr>
          <w:lang w:val="fr-FR"/>
        </w:rPr>
        <w:t>d</w:t>
      </w:r>
      <w:r w:rsidR="008B6064">
        <w:rPr>
          <w:lang w:val="fr-FR"/>
        </w:rPr>
        <w:t>e l</w:t>
      </w:r>
      <w:r w:rsidR="005A6B8A">
        <w:rPr>
          <w:lang w:val="fr-FR"/>
        </w:rPr>
        <w:t>’</w:t>
      </w:r>
      <w:r w:rsidR="008B6064">
        <w:rPr>
          <w:lang w:val="fr-FR"/>
        </w:rPr>
        <w:t>état du requérant</w:t>
      </w:r>
      <w:r w:rsidR="00286061">
        <w:rPr>
          <w:lang w:val="fr-FR"/>
        </w:rPr>
        <w:t xml:space="preserve"> que le détenu en charge de l</w:t>
      </w:r>
      <w:r w:rsidR="005A6B8A">
        <w:rPr>
          <w:lang w:val="fr-FR"/>
        </w:rPr>
        <w:t>’</w:t>
      </w:r>
      <w:r w:rsidR="00286061">
        <w:rPr>
          <w:lang w:val="fr-FR"/>
        </w:rPr>
        <w:t xml:space="preserve">assister quotidiennement </w:t>
      </w:r>
      <w:r w:rsidR="00690EA1">
        <w:rPr>
          <w:lang w:val="fr-FR"/>
        </w:rPr>
        <w:t>selon le Gouvernement</w:t>
      </w:r>
      <w:r w:rsidR="0027202E">
        <w:rPr>
          <w:lang w:val="fr-FR"/>
        </w:rPr>
        <w:t xml:space="preserve"> (paragraphe 4</w:t>
      </w:r>
      <w:r w:rsidR="00545953">
        <w:rPr>
          <w:lang w:val="fr-FR"/>
        </w:rPr>
        <w:t>2</w:t>
      </w:r>
      <w:r w:rsidR="0027202E">
        <w:rPr>
          <w:lang w:val="fr-FR"/>
        </w:rPr>
        <w:t xml:space="preserve"> ci-dessus)</w:t>
      </w:r>
      <w:r w:rsidR="00286061">
        <w:rPr>
          <w:lang w:val="fr-FR"/>
        </w:rPr>
        <w:t xml:space="preserve"> doi</w:t>
      </w:r>
      <w:r w:rsidR="00F532A5">
        <w:rPr>
          <w:lang w:val="fr-FR"/>
        </w:rPr>
        <w:t>t</w:t>
      </w:r>
      <w:r w:rsidR="00286061">
        <w:rPr>
          <w:lang w:val="fr-FR"/>
        </w:rPr>
        <w:t xml:space="preserve"> l</w:t>
      </w:r>
      <w:r w:rsidR="005A6B8A">
        <w:rPr>
          <w:lang w:val="fr-FR"/>
        </w:rPr>
        <w:t>’</w:t>
      </w:r>
      <w:r w:rsidR="00286061">
        <w:rPr>
          <w:lang w:val="fr-FR"/>
        </w:rPr>
        <w:t xml:space="preserve">aider à réaliser sa toilette. </w:t>
      </w:r>
      <w:r w:rsidR="00AD182E">
        <w:rPr>
          <w:lang w:val="fr-FR"/>
        </w:rPr>
        <w:t>Cette situation, où l</w:t>
      </w:r>
      <w:r w:rsidR="005A6B8A">
        <w:rPr>
          <w:lang w:val="fr-FR"/>
        </w:rPr>
        <w:t>’</w:t>
      </w:r>
      <w:r w:rsidR="00AD182E">
        <w:rPr>
          <w:lang w:val="fr-FR"/>
        </w:rPr>
        <w:t>accès aux douches n</w:t>
      </w:r>
      <w:r w:rsidR="005A6B8A">
        <w:rPr>
          <w:lang w:val="fr-FR"/>
        </w:rPr>
        <w:t>’</w:t>
      </w:r>
      <w:r w:rsidR="00AD182E">
        <w:rPr>
          <w:lang w:val="fr-FR"/>
        </w:rPr>
        <w:t>est pas adapté à l</w:t>
      </w:r>
      <w:r w:rsidR="005A6B8A">
        <w:rPr>
          <w:lang w:val="fr-FR"/>
        </w:rPr>
        <w:t>’</w:t>
      </w:r>
      <w:r w:rsidR="00AD182E">
        <w:rPr>
          <w:lang w:val="fr-FR"/>
        </w:rPr>
        <w:t>utilisation d</w:t>
      </w:r>
      <w:r w:rsidR="005A6B8A">
        <w:rPr>
          <w:lang w:val="fr-FR"/>
        </w:rPr>
        <w:t>’</w:t>
      </w:r>
      <w:r w:rsidR="00AD182E">
        <w:rPr>
          <w:lang w:val="fr-FR"/>
        </w:rPr>
        <w:t xml:space="preserve">un fauteuil roulant, </w:t>
      </w:r>
      <w:r w:rsidR="00100D8D">
        <w:rPr>
          <w:lang w:val="fr-FR"/>
        </w:rPr>
        <w:t>et où le requérant doit compter sur un</w:t>
      </w:r>
      <w:r w:rsidR="00AD182E">
        <w:rPr>
          <w:lang w:val="fr-FR"/>
        </w:rPr>
        <w:t xml:space="preserve"> détenu auxiliaire pour se laver, a été jugée inacceptable par le CGLPL</w:t>
      </w:r>
      <w:r w:rsidR="00CA374D">
        <w:rPr>
          <w:lang w:val="fr-FR"/>
        </w:rPr>
        <w:t xml:space="preserve"> (paragraphe </w:t>
      </w:r>
      <w:r w:rsidR="00545953">
        <w:rPr>
          <w:lang w:val="fr-FR"/>
        </w:rPr>
        <w:t>29</w:t>
      </w:r>
      <w:r w:rsidR="004E3356">
        <w:rPr>
          <w:lang w:val="fr-FR"/>
        </w:rPr>
        <w:t xml:space="preserve"> </w:t>
      </w:r>
      <w:r w:rsidR="00CA374D">
        <w:rPr>
          <w:lang w:val="fr-FR"/>
        </w:rPr>
        <w:t>ci-dessus)</w:t>
      </w:r>
      <w:r w:rsidR="00AD182E">
        <w:rPr>
          <w:lang w:val="fr-FR"/>
        </w:rPr>
        <w:t>.</w:t>
      </w:r>
      <w:r w:rsidR="00286061">
        <w:rPr>
          <w:lang w:val="fr-FR"/>
        </w:rPr>
        <w:t xml:space="preserve"> </w:t>
      </w:r>
      <w:r w:rsidR="005B4CB4">
        <w:rPr>
          <w:lang w:val="fr-FR"/>
        </w:rPr>
        <w:t>Par ailleurs, s</w:t>
      </w:r>
      <w:r w:rsidR="00286061">
        <w:rPr>
          <w:lang w:val="fr-FR"/>
        </w:rPr>
        <w:t>i le législateur a ouvert</w:t>
      </w:r>
      <w:r w:rsidR="004E3356">
        <w:rPr>
          <w:lang w:val="fr-FR"/>
        </w:rPr>
        <w:t xml:space="preserve"> en 2009</w:t>
      </w:r>
      <w:r w:rsidR="00286061">
        <w:rPr>
          <w:lang w:val="fr-FR"/>
        </w:rPr>
        <w:t xml:space="preserve"> la possibilité à toute personne détenue se trouvant dans une situation de handicap de désigner un aidant de son </w:t>
      </w:r>
      <w:r w:rsidR="00690EA1">
        <w:rPr>
          <w:lang w:val="fr-FR"/>
        </w:rPr>
        <w:t>choix</w:t>
      </w:r>
      <w:r w:rsidR="00545953">
        <w:rPr>
          <w:lang w:val="fr-FR"/>
        </w:rPr>
        <w:t xml:space="preserve"> (paragraphe 32</w:t>
      </w:r>
      <w:r w:rsidR="004E3356">
        <w:rPr>
          <w:lang w:val="fr-FR"/>
        </w:rPr>
        <w:t xml:space="preserve"> ci-dessus)</w:t>
      </w:r>
      <w:r w:rsidR="00690EA1">
        <w:rPr>
          <w:lang w:val="fr-FR"/>
        </w:rPr>
        <w:t>, l</w:t>
      </w:r>
      <w:r w:rsidR="009B4AF4">
        <w:rPr>
          <w:lang w:val="fr-FR"/>
        </w:rPr>
        <w:t xml:space="preserve">a Cour observe </w:t>
      </w:r>
      <w:r w:rsidR="005B4CB4">
        <w:rPr>
          <w:lang w:val="fr-FR"/>
        </w:rPr>
        <w:t>qu</w:t>
      </w:r>
      <w:r w:rsidR="005A6B8A">
        <w:rPr>
          <w:lang w:val="fr-FR"/>
        </w:rPr>
        <w:t>’</w:t>
      </w:r>
      <w:r w:rsidR="005B4CB4">
        <w:rPr>
          <w:lang w:val="fr-FR"/>
        </w:rPr>
        <w:t>une telle mesure</w:t>
      </w:r>
      <w:r w:rsidR="00EA2D41">
        <w:rPr>
          <w:lang w:val="fr-FR"/>
        </w:rPr>
        <w:t>, à supposer qu</w:t>
      </w:r>
      <w:r w:rsidR="001E5673">
        <w:rPr>
          <w:lang w:val="fr-FR"/>
        </w:rPr>
        <w:t>e les conditions de ce choix aient été remplies en l</w:t>
      </w:r>
      <w:r w:rsidR="005A6B8A">
        <w:rPr>
          <w:lang w:val="fr-FR"/>
        </w:rPr>
        <w:t>’</w:t>
      </w:r>
      <w:r w:rsidR="001E5673">
        <w:rPr>
          <w:lang w:val="fr-FR"/>
        </w:rPr>
        <w:t xml:space="preserve">espèce, </w:t>
      </w:r>
      <w:r w:rsidR="00DB3CC7">
        <w:rPr>
          <w:lang w:val="fr-FR"/>
        </w:rPr>
        <w:t>n</w:t>
      </w:r>
      <w:r w:rsidR="005A6B8A">
        <w:rPr>
          <w:lang w:val="fr-FR"/>
        </w:rPr>
        <w:t>’</w:t>
      </w:r>
      <w:r w:rsidR="00DB3CC7">
        <w:rPr>
          <w:lang w:val="fr-FR"/>
        </w:rPr>
        <w:t>est pas suffisante</w:t>
      </w:r>
      <w:r w:rsidR="00723DCE">
        <w:rPr>
          <w:lang w:val="fr-FR"/>
        </w:rPr>
        <w:t xml:space="preserve"> en l</w:t>
      </w:r>
      <w:r w:rsidR="005A6B8A">
        <w:rPr>
          <w:lang w:val="fr-FR"/>
        </w:rPr>
        <w:t>’</w:t>
      </w:r>
      <w:r w:rsidR="00723DCE">
        <w:rPr>
          <w:lang w:val="fr-FR"/>
        </w:rPr>
        <w:t>espèce</w:t>
      </w:r>
      <w:r w:rsidR="00DB3CC7">
        <w:rPr>
          <w:lang w:val="fr-FR"/>
        </w:rPr>
        <w:t xml:space="preserve"> pour répondre</w:t>
      </w:r>
      <w:r w:rsidR="00723DCE">
        <w:rPr>
          <w:lang w:val="fr-FR"/>
        </w:rPr>
        <w:t xml:space="preserve"> aux besoins du requérant qui vit difficilement le moment de la douche, compte tenu de son inc</w:t>
      </w:r>
      <w:r w:rsidR="007B0F97">
        <w:rPr>
          <w:lang w:val="fr-FR"/>
        </w:rPr>
        <w:t>ontinence, du manque d</w:t>
      </w:r>
      <w:r w:rsidR="005A6B8A">
        <w:rPr>
          <w:lang w:val="fr-FR"/>
        </w:rPr>
        <w:t>’</w:t>
      </w:r>
      <w:r w:rsidR="007B0F97">
        <w:rPr>
          <w:lang w:val="fr-FR"/>
        </w:rPr>
        <w:t>intimité et du rôle d</w:t>
      </w:r>
      <w:r w:rsidR="005A6B8A">
        <w:rPr>
          <w:lang w:val="fr-FR"/>
        </w:rPr>
        <w:t>’</w:t>
      </w:r>
      <w:r w:rsidR="007B0F97">
        <w:rPr>
          <w:lang w:val="fr-FR"/>
        </w:rPr>
        <w:t xml:space="preserve">assistance confié au codétenu </w:t>
      </w:r>
      <w:r w:rsidR="006F2ACF">
        <w:rPr>
          <w:lang w:val="fr-FR"/>
        </w:rPr>
        <w:t xml:space="preserve">(voir, </w:t>
      </w:r>
      <w:r w:rsidR="006F2ACF" w:rsidRPr="00A058C1">
        <w:rPr>
          <w:i/>
          <w:lang w:val="fr-FR"/>
        </w:rPr>
        <w:t>mutatis mutandis</w:t>
      </w:r>
      <w:r w:rsidR="006F2ACF">
        <w:rPr>
          <w:lang w:val="fr-FR"/>
        </w:rPr>
        <w:t xml:space="preserve">, </w:t>
      </w:r>
      <w:r w:rsidR="00A058C1" w:rsidRPr="00C46558">
        <w:rPr>
          <w:i/>
          <w:lang w:val="fr-FR"/>
        </w:rPr>
        <w:t>D.G</w:t>
      </w:r>
      <w:r w:rsidR="00A058C1">
        <w:rPr>
          <w:i/>
          <w:lang w:val="fr-FR"/>
        </w:rPr>
        <w:t xml:space="preserve">, </w:t>
      </w:r>
      <w:r w:rsidR="007E20BE">
        <w:rPr>
          <w:lang w:val="fr-FR"/>
        </w:rPr>
        <w:t>précité, § </w:t>
      </w:r>
      <w:r w:rsidR="00A058C1" w:rsidRPr="00A058C1">
        <w:rPr>
          <w:lang w:val="fr-FR"/>
        </w:rPr>
        <w:t>177)</w:t>
      </w:r>
      <w:r w:rsidR="007B0F97" w:rsidRPr="00A058C1">
        <w:rPr>
          <w:lang w:val="fr-FR"/>
        </w:rPr>
        <w:t>.</w:t>
      </w:r>
      <w:r w:rsidR="007B0F97">
        <w:rPr>
          <w:lang w:val="fr-FR"/>
        </w:rPr>
        <w:t xml:space="preserve"> </w:t>
      </w:r>
      <w:r w:rsidR="00F30F62">
        <w:rPr>
          <w:lang w:val="fr-FR"/>
        </w:rPr>
        <w:t xml:space="preserve">Il ne ressort en effet du dossier </w:t>
      </w:r>
      <w:r w:rsidR="008C4385">
        <w:rPr>
          <w:lang w:val="fr-FR"/>
        </w:rPr>
        <w:t xml:space="preserve">ni </w:t>
      </w:r>
      <w:r w:rsidR="00F30F62">
        <w:rPr>
          <w:lang w:val="fr-FR"/>
        </w:rPr>
        <w:t>que cette aide</w:t>
      </w:r>
      <w:r w:rsidR="002721E3">
        <w:rPr>
          <w:lang w:val="fr-FR"/>
        </w:rPr>
        <w:t xml:space="preserve"> constitue un complément à la</w:t>
      </w:r>
      <w:r w:rsidR="00F30F62">
        <w:rPr>
          <w:lang w:val="fr-FR"/>
        </w:rPr>
        <w:t xml:space="preserve"> prise en charge </w:t>
      </w:r>
      <w:r w:rsidR="002721E3">
        <w:rPr>
          <w:lang w:val="fr-FR"/>
        </w:rPr>
        <w:t>du requérant par des professionnels de santé ni que le détenu désigné pour l</w:t>
      </w:r>
      <w:r w:rsidR="005A6B8A">
        <w:rPr>
          <w:lang w:val="fr-FR"/>
        </w:rPr>
        <w:t>’</w:t>
      </w:r>
      <w:r w:rsidR="002721E3">
        <w:rPr>
          <w:lang w:val="fr-FR"/>
        </w:rPr>
        <w:t xml:space="preserve">assister </w:t>
      </w:r>
      <w:r w:rsidR="008C4385">
        <w:rPr>
          <w:lang w:val="fr-FR"/>
        </w:rPr>
        <w:t>a</w:t>
      </w:r>
      <w:r w:rsidR="008B6064">
        <w:rPr>
          <w:lang w:val="fr-FR"/>
        </w:rPr>
        <w:t>it</w:t>
      </w:r>
      <w:r w:rsidR="008C4385">
        <w:rPr>
          <w:lang w:val="fr-FR"/>
        </w:rPr>
        <w:t xml:space="preserve"> reçu la formation nécessaire</w:t>
      </w:r>
      <w:r w:rsidR="008C4385" w:rsidRPr="008C4385">
        <w:rPr>
          <w:lang w:val="fr-FR"/>
        </w:rPr>
        <w:t xml:space="preserve"> </w:t>
      </w:r>
      <w:r w:rsidR="008C4385">
        <w:rPr>
          <w:lang w:val="fr-FR"/>
        </w:rPr>
        <w:t>à la pratique des gestes requis pour une personne invalide.</w:t>
      </w:r>
      <w:r w:rsidR="00F30F62">
        <w:rPr>
          <w:lang w:val="fr-FR"/>
        </w:rPr>
        <w:t xml:space="preserve"> </w:t>
      </w:r>
      <w:r w:rsidR="007B0F97">
        <w:rPr>
          <w:lang w:val="fr-FR"/>
        </w:rPr>
        <w:t>La Cour rappelle à cet égard qu</w:t>
      </w:r>
      <w:r w:rsidR="005A6B8A">
        <w:rPr>
          <w:lang w:val="fr-FR"/>
        </w:rPr>
        <w:t>’</w:t>
      </w:r>
      <w:r w:rsidR="00690EA1">
        <w:rPr>
          <w:lang w:val="fr-FR"/>
        </w:rPr>
        <w:t>elle</w:t>
      </w:r>
      <w:r w:rsidR="00AD182E">
        <w:rPr>
          <w:lang w:val="fr-FR"/>
        </w:rPr>
        <w:t xml:space="preserve"> a, à plusieurs reprises, </w:t>
      </w:r>
      <w:r w:rsidR="00100D8D">
        <w:rPr>
          <w:lang w:val="fr-FR"/>
        </w:rPr>
        <w:t>estimé que l</w:t>
      </w:r>
      <w:r w:rsidR="005A6B8A">
        <w:rPr>
          <w:lang w:val="fr-FR"/>
        </w:rPr>
        <w:t>’</w:t>
      </w:r>
      <w:r w:rsidR="00100D8D">
        <w:rPr>
          <w:lang w:val="fr-FR"/>
        </w:rPr>
        <w:t>assistance d</w:t>
      </w:r>
      <w:r w:rsidR="005A6B8A">
        <w:rPr>
          <w:lang w:val="fr-FR"/>
        </w:rPr>
        <w:t>’</w:t>
      </w:r>
      <w:r w:rsidR="00100D8D">
        <w:rPr>
          <w:lang w:val="fr-FR"/>
        </w:rPr>
        <w:t xml:space="preserve">un codétenu, même volontaire, ne signifie pas </w:t>
      </w:r>
      <w:r w:rsidR="00100D8D" w:rsidRPr="00140A98">
        <w:rPr>
          <w:lang w:val="fr-FR"/>
        </w:rPr>
        <w:t>que les besoins spéc</w:t>
      </w:r>
      <w:r w:rsidR="00100D8D">
        <w:rPr>
          <w:lang w:val="fr-FR"/>
        </w:rPr>
        <w:t xml:space="preserve">iaux du requérant sont </w:t>
      </w:r>
      <w:r w:rsidR="00100D8D" w:rsidRPr="00140A98">
        <w:rPr>
          <w:lang w:val="fr-FR"/>
        </w:rPr>
        <w:t>satisfaits et que l</w:t>
      </w:r>
      <w:r w:rsidR="005A6B8A">
        <w:rPr>
          <w:lang w:val="fr-FR"/>
        </w:rPr>
        <w:t>’</w:t>
      </w:r>
      <w:r w:rsidR="00100D8D" w:rsidRPr="00140A98">
        <w:rPr>
          <w:lang w:val="fr-FR"/>
        </w:rPr>
        <w:t xml:space="preserve">Etat </w:t>
      </w:r>
      <w:r w:rsidR="00100D8D">
        <w:rPr>
          <w:lang w:val="fr-FR"/>
        </w:rPr>
        <w:t>s</w:t>
      </w:r>
      <w:r w:rsidR="005A6B8A">
        <w:rPr>
          <w:lang w:val="fr-FR"/>
        </w:rPr>
        <w:t>’</w:t>
      </w:r>
      <w:r w:rsidR="00100D8D">
        <w:rPr>
          <w:lang w:val="fr-FR"/>
        </w:rPr>
        <w:t>est acquitté à cet égard d</w:t>
      </w:r>
      <w:r w:rsidR="00100D8D" w:rsidRPr="00140A98">
        <w:rPr>
          <w:lang w:val="fr-FR"/>
        </w:rPr>
        <w:t xml:space="preserve">es obligations </w:t>
      </w:r>
      <w:r w:rsidR="00100D8D">
        <w:rPr>
          <w:lang w:val="fr-FR"/>
        </w:rPr>
        <w:t>lui incomba</w:t>
      </w:r>
      <w:r w:rsidR="00100D8D" w:rsidRPr="00140A98">
        <w:rPr>
          <w:lang w:val="fr-FR"/>
        </w:rPr>
        <w:t>nt au titre de l</w:t>
      </w:r>
      <w:r w:rsidR="005A6B8A">
        <w:rPr>
          <w:lang w:val="fr-FR"/>
        </w:rPr>
        <w:t>’</w:t>
      </w:r>
      <w:r w:rsidR="00100D8D" w:rsidRPr="00140A98">
        <w:rPr>
          <w:lang w:val="fr-FR"/>
        </w:rPr>
        <w:t xml:space="preserve">article 3 de la Convention. </w:t>
      </w:r>
      <w:r w:rsidR="00100D8D">
        <w:rPr>
          <w:lang w:val="fr-FR"/>
        </w:rPr>
        <w:t>Elle a</w:t>
      </w:r>
      <w:r w:rsidR="00100D8D" w:rsidRPr="00140A98">
        <w:rPr>
          <w:lang w:val="fr-FR"/>
        </w:rPr>
        <w:t xml:space="preserve"> souligné qu</w:t>
      </w:r>
      <w:r w:rsidR="005A6B8A">
        <w:rPr>
          <w:lang w:val="fr-FR"/>
        </w:rPr>
        <w:t>’</w:t>
      </w:r>
      <w:r w:rsidR="00100D8D" w:rsidRPr="00140A98">
        <w:rPr>
          <w:lang w:val="fr-FR"/>
        </w:rPr>
        <w:t>elle ne pouvait approuver une situation dans laquelle le personnel d</w:t>
      </w:r>
      <w:r w:rsidR="005A6B8A">
        <w:rPr>
          <w:lang w:val="fr-FR"/>
        </w:rPr>
        <w:t>’</w:t>
      </w:r>
      <w:r w:rsidR="00100D8D" w:rsidRPr="00140A98">
        <w:rPr>
          <w:lang w:val="fr-FR"/>
        </w:rPr>
        <w:t xml:space="preserve">une prison </w:t>
      </w:r>
      <w:r w:rsidR="00100D8D">
        <w:rPr>
          <w:lang w:val="fr-FR"/>
        </w:rPr>
        <w:t>se dérobe à</w:t>
      </w:r>
      <w:r w:rsidR="00100D8D" w:rsidRPr="00140A98">
        <w:rPr>
          <w:lang w:val="fr-FR"/>
        </w:rPr>
        <w:t xml:space="preserve"> son obligation de sécurité et de soins vis-à-vis des détenus les plus vulnérables en faisant peser sur leurs compagnons de cellule la responsabilité de leur fournir une assistance quotidienne ou, le cas échéant, des soins d</w:t>
      </w:r>
      <w:r w:rsidR="005A6B8A">
        <w:rPr>
          <w:lang w:val="fr-FR"/>
        </w:rPr>
        <w:t>’</w:t>
      </w:r>
      <w:r w:rsidR="00100D8D" w:rsidRPr="00140A98">
        <w:rPr>
          <w:lang w:val="fr-FR"/>
        </w:rPr>
        <w:t>urgence</w:t>
      </w:r>
      <w:r w:rsidR="00902E56">
        <w:rPr>
          <w:lang w:val="fr-FR"/>
        </w:rPr>
        <w:t xml:space="preserve"> ; cette situation </w:t>
      </w:r>
      <w:r w:rsidR="00C46558">
        <w:rPr>
          <w:lang w:val="fr-FR"/>
        </w:rPr>
        <w:t>engendre de l</w:t>
      </w:r>
      <w:r w:rsidR="005A6B8A">
        <w:rPr>
          <w:lang w:val="fr-FR"/>
        </w:rPr>
        <w:t>’</w:t>
      </w:r>
      <w:r w:rsidR="00C46558">
        <w:rPr>
          <w:lang w:val="fr-FR"/>
        </w:rPr>
        <w:t xml:space="preserve">angoisse et </w:t>
      </w:r>
      <w:r w:rsidR="00902E56">
        <w:rPr>
          <w:lang w:val="fr-FR"/>
        </w:rPr>
        <w:t xml:space="preserve">les place dans </w:t>
      </w:r>
      <w:r w:rsidR="00C46558">
        <w:rPr>
          <w:lang w:val="fr-FR"/>
        </w:rPr>
        <w:t>une position d</w:t>
      </w:r>
      <w:r w:rsidR="005A6B8A">
        <w:rPr>
          <w:lang w:val="fr-FR"/>
        </w:rPr>
        <w:t>’</w:t>
      </w:r>
      <w:r w:rsidR="00C46558">
        <w:rPr>
          <w:lang w:val="fr-FR"/>
        </w:rPr>
        <w:t>infériorité vis-à-vis des autres détenus</w:t>
      </w:r>
      <w:r w:rsidR="00067570">
        <w:rPr>
          <w:lang w:val="fr-FR"/>
        </w:rPr>
        <w:t xml:space="preserve"> </w:t>
      </w:r>
      <w:r w:rsidR="00100D8D">
        <w:rPr>
          <w:lang w:val="fr-FR"/>
        </w:rPr>
        <w:t>(</w:t>
      </w:r>
      <w:r w:rsidR="00C46558" w:rsidRPr="00C46558">
        <w:rPr>
          <w:i/>
          <w:lang w:val="fr-FR"/>
        </w:rPr>
        <w:t>Farbtuhs</w:t>
      </w:r>
      <w:r w:rsidR="00C46558" w:rsidRPr="00C46558">
        <w:rPr>
          <w:lang w:val="fr-FR"/>
        </w:rPr>
        <w:t>,</w:t>
      </w:r>
      <w:r w:rsidR="0027202E">
        <w:rPr>
          <w:lang w:val="fr-FR"/>
        </w:rPr>
        <w:t xml:space="preserve"> précité, </w:t>
      </w:r>
      <w:r w:rsidR="00C46558" w:rsidRPr="00C46558">
        <w:rPr>
          <w:lang w:val="fr-FR"/>
        </w:rPr>
        <w:t xml:space="preserve">§ </w:t>
      </w:r>
      <w:r w:rsidR="00C46558">
        <w:rPr>
          <w:lang w:val="fr-FR"/>
        </w:rPr>
        <w:t>60</w:t>
      </w:r>
      <w:r w:rsidR="0027202E">
        <w:rPr>
          <w:lang w:val="fr-FR"/>
        </w:rPr>
        <w:t xml:space="preserve"> </w:t>
      </w:r>
      <w:r w:rsidR="00C46558">
        <w:rPr>
          <w:lang w:val="fr-FR"/>
        </w:rPr>
        <w:t xml:space="preserve">; </w:t>
      </w:r>
      <w:r w:rsidR="00C46558" w:rsidRPr="00C46558">
        <w:rPr>
          <w:i/>
          <w:lang w:val="fr-FR"/>
        </w:rPr>
        <w:t>D.G.</w:t>
      </w:r>
      <w:r w:rsidR="00474553">
        <w:rPr>
          <w:i/>
          <w:lang w:val="fr-FR"/>
        </w:rPr>
        <w:t xml:space="preserve"> </w:t>
      </w:r>
      <w:r w:rsidR="00A058C1">
        <w:rPr>
          <w:lang w:val="fr-FR"/>
        </w:rPr>
        <w:t>précité</w:t>
      </w:r>
      <w:r w:rsidR="00C46558" w:rsidRPr="00C46558">
        <w:rPr>
          <w:snapToGrid w:val="0"/>
          <w:lang w:val="fr-FR"/>
        </w:rPr>
        <w:t xml:space="preserve">, § </w:t>
      </w:r>
      <w:r w:rsidR="00C46558">
        <w:rPr>
          <w:snapToGrid w:val="0"/>
          <w:lang w:val="fr-FR"/>
        </w:rPr>
        <w:t>147</w:t>
      </w:r>
      <w:r w:rsidR="00100D8D">
        <w:rPr>
          <w:lang w:val="fr-FR"/>
        </w:rPr>
        <w:t>).</w:t>
      </w:r>
    </w:p>
    <w:p w:rsidR="000E4144" w:rsidRDefault="00FF7F1B" w:rsidP="00BF2145">
      <w:pPr>
        <w:pStyle w:val="ECHRHeading5"/>
        <w:rPr>
          <w:lang w:val="fr-FR"/>
        </w:rPr>
      </w:pPr>
      <w:r>
        <w:rPr>
          <w:lang w:val="fr-FR"/>
        </w:rPr>
        <w:t>iv.  </w:t>
      </w:r>
      <w:r w:rsidR="000E4144">
        <w:rPr>
          <w:lang w:val="fr-FR"/>
        </w:rPr>
        <w:t>Conclusion</w:t>
      </w:r>
    </w:p>
    <w:p w:rsidR="0054513C" w:rsidRPr="00251A27" w:rsidRDefault="0031662C" w:rsidP="0054513C">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63</w:t>
      </w:r>
      <w:r>
        <w:rPr>
          <w:lang w:val="fr-FR"/>
        </w:rPr>
        <w:fldChar w:fldCharType="end"/>
      </w:r>
      <w:r>
        <w:rPr>
          <w:lang w:val="fr-FR"/>
        </w:rPr>
        <w:t>.  </w:t>
      </w:r>
      <w:r w:rsidR="00637C63" w:rsidRPr="00251A27">
        <w:rPr>
          <w:lang w:val="fr-FR"/>
        </w:rPr>
        <w:t>En définitive, la Cour est d</w:t>
      </w:r>
      <w:r w:rsidR="005A6B8A">
        <w:rPr>
          <w:lang w:val="fr-FR"/>
        </w:rPr>
        <w:t>’</w:t>
      </w:r>
      <w:r w:rsidR="00637C63" w:rsidRPr="00251A27">
        <w:rPr>
          <w:lang w:val="fr-FR"/>
        </w:rPr>
        <w:t>avis que le</w:t>
      </w:r>
      <w:r w:rsidR="00F519A0">
        <w:rPr>
          <w:lang w:val="fr-FR"/>
        </w:rPr>
        <w:t xml:space="preserve"> maintien en détention du requérant n</w:t>
      </w:r>
      <w:r w:rsidR="005A6B8A">
        <w:rPr>
          <w:lang w:val="fr-FR"/>
        </w:rPr>
        <w:t>’</w:t>
      </w:r>
      <w:r w:rsidR="00F519A0">
        <w:rPr>
          <w:lang w:val="fr-FR"/>
        </w:rPr>
        <w:t>est pas incompatible en soi avec l</w:t>
      </w:r>
      <w:r w:rsidR="005A6B8A">
        <w:rPr>
          <w:lang w:val="fr-FR"/>
        </w:rPr>
        <w:t>’</w:t>
      </w:r>
      <w:r w:rsidR="00F519A0">
        <w:rPr>
          <w:lang w:val="fr-FR"/>
        </w:rPr>
        <w:t xml:space="preserve">article 3 de la Convention mais que les autorités nationales ne lui </w:t>
      </w:r>
      <w:r w:rsidR="00637C63" w:rsidRPr="00251A27">
        <w:rPr>
          <w:lang w:val="fr-FR"/>
        </w:rPr>
        <w:t>ont pas assuré une pris</w:t>
      </w:r>
      <w:r w:rsidR="00EA769E">
        <w:rPr>
          <w:lang w:val="fr-FR"/>
        </w:rPr>
        <w:t>e en charge</w:t>
      </w:r>
      <w:r w:rsidR="001C2CCC">
        <w:rPr>
          <w:lang w:val="fr-FR"/>
        </w:rPr>
        <w:t xml:space="preserve"> </w:t>
      </w:r>
      <w:r w:rsidR="00EA769E">
        <w:rPr>
          <w:lang w:val="fr-FR"/>
        </w:rPr>
        <w:t xml:space="preserve">propre à </w:t>
      </w:r>
      <w:r w:rsidR="001C2CCC">
        <w:rPr>
          <w:lang w:val="fr-FR"/>
        </w:rPr>
        <w:t xml:space="preserve">lui </w:t>
      </w:r>
      <w:r w:rsidR="00EA769E">
        <w:rPr>
          <w:lang w:val="fr-FR"/>
        </w:rPr>
        <w:t>épargner</w:t>
      </w:r>
      <w:r w:rsidR="00637C63" w:rsidRPr="00251A27">
        <w:rPr>
          <w:lang w:val="fr-FR"/>
        </w:rPr>
        <w:t xml:space="preserve"> des traitements contraires à </w:t>
      </w:r>
      <w:r w:rsidR="008A4C50">
        <w:rPr>
          <w:lang w:val="fr-FR"/>
        </w:rPr>
        <w:t>cette disposition</w:t>
      </w:r>
      <w:r w:rsidR="00637C63" w:rsidRPr="00251A27">
        <w:rPr>
          <w:lang w:val="fr-FR"/>
        </w:rPr>
        <w:t xml:space="preserve">. </w:t>
      </w:r>
      <w:r w:rsidR="00E34B58">
        <w:rPr>
          <w:lang w:val="fr-FR"/>
        </w:rPr>
        <w:t xml:space="preserve">Compte tenu de son </w:t>
      </w:r>
      <w:r w:rsidR="003F2FFF">
        <w:rPr>
          <w:lang w:val="fr-FR"/>
        </w:rPr>
        <w:t xml:space="preserve">grave </w:t>
      </w:r>
      <w:r w:rsidR="00E34B58">
        <w:rPr>
          <w:lang w:val="fr-FR"/>
        </w:rPr>
        <w:t>handicap, et du fait qu</w:t>
      </w:r>
      <w:r w:rsidR="005A6B8A">
        <w:rPr>
          <w:lang w:val="fr-FR"/>
        </w:rPr>
        <w:t>’</w:t>
      </w:r>
      <w:r w:rsidR="00E34B58">
        <w:rPr>
          <w:lang w:val="fr-FR"/>
        </w:rPr>
        <w:t>il souffre d</w:t>
      </w:r>
      <w:r w:rsidR="005A6B8A">
        <w:rPr>
          <w:lang w:val="fr-FR"/>
        </w:rPr>
        <w:t>’</w:t>
      </w:r>
      <w:r w:rsidR="00E34B58">
        <w:rPr>
          <w:lang w:val="fr-FR"/>
        </w:rPr>
        <w:t>incontinence urinaire et anale, l</w:t>
      </w:r>
      <w:r w:rsidR="00637C63" w:rsidRPr="00251A27">
        <w:rPr>
          <w:lang w:val="fr-FR"/>
        </w:rPr>
        <w:t xml:space="preserve">a période de détention </w:t>
      </w:r>
      <w:r w:rsidR="009B4AF4">
        <w:rPr>
          <w:lang w:val="fr-FR"/>
        </w:rPr>
        <w:t>qu</w:t>
      </w:r>
      <w:r w:rsidR="005A6B8A">
        <w:rPr>
          <w:lang w:val="fr-FR"/>
        </w:rPr>
        <w:t>’</w:t>
      </w:r>
      <w:r w:rsidR="009B4AF4">
        <w:rPr>
          <w:lang w:val="fr-FR"/>
        </w:rPr>
        <w:t>il a vécue</w:t>
      </w:r>
      <w:r w:rsidR="0054513C" w:rsidRPr="00251A27">
        <w:rPr>
          <w:lang w:val="fr-FR"/>
        </w:rPr>
        <w:t xml:space="preserve"> sans pouvoir bénéficier d</w:t>
      </w:r>
      <w:r w:rsidR="005A6B8A">
        <w:rPr>
          <w:lang w:val="fr-FR"/>
        </w:rPr>
        <w:t>’</w:t>
      </w:r>
      <w:r w:rsidR="0054513C" w:rsidRPr="00251A27">
        <w:rPr>
          <w:lang w:val="fr-FR"/>
        </w:rPr>
        <w:t>aucun traitement de rééducation</w:t>
      </w:r>
      <w:r>
        <w:rPr>
          <w:lang w:val="fr-FR"/>
        </w:rPr>
        <w:t>,</w:t>
      </w:r>
      <w:r w:rsidR="0054513C" w:rsidRPr="00251A27">
        <w:rPr>
          <w:lang w:val="fr-FR"/>
        </w:rPr>
        <w:t xml:space="preserve"> et</w:t>
      </w:r>
      <w:r>
        <w:rPr>
          <w:lang w:val="fr-FR"/>
        </w:rPr>
        <w:t xml:space="preserve"> dans un établissement où il ne peut prendre des douches que grâce à l</w:t>
      </w:r>
      <w:r w:rsidR="005A6B8A">
        <w:rPr>
          <w:lang w:val="fr-FR"/>
        </w:rPr>
        <w:t>’</w:t>
      </w:r>
      <w:r>
        <w:rPr>
          <w:lang w:val="fr-FR"/>
        </w:rPr>
        <w:t>aide d</w:t>
      </w:r>
      <w:r w:rsidR="005A6B8A">
        <w:rPr>
          <w:lang w:val="fr-FR"/>
        </w:rPr>
        <w:t>’</w:t>
      </w:r>
      <w:r>
        <w:rPr>
          <w:lang w:val="fr-FR"/>
        </w:rPr>
        <w:t>un codétenu,</w:t>
      </w:r>
      <w:r w:rsidR="009B4AF4">
        <w:rPr>
          <w:lang w:val="fr-FR"/>
        </w:rPr>
        <w:t xml:space="preserve"> sont des circonstances qui l</w:t>
      </w:r>
      <w:r w:rsidR="005A6B8A">
        <w:rPr>
          <w:lang w:val="fr-FR"/>
        </w:rPr>
        <w:t>’</w:t>
      </w:r>
      <w:r w:rsidR="009B4AF4">
        <w:rPr>
          <w:lang w:val="fr-FR"/>
        </w:rPr>
        <w:t>ont soumis à une épreuve d</w:t>
      </w:r>
      <w:r w:rsidR="005A6B8A">
        <w:rPr>
          <w:lang w:val="fr-FR"/>
        </w:rPr>
        <w:t>’</w:t>
      </w:r>
      <w:r w:rsidR="009B4AF4">
        <w:rPr>
          <w:lang w:val="fr-FR"/>
        </w:rPr>
        <w:t xml:space="preserve">une intensité qui </w:t>
      </w:r>
      <w:r w:rsidR="00104E40">
        <w:rPr>
          <w:lang w:val="fr-FR"/>
        </w:rPr>
        <w:t>a dépassé le niveau inévitable de souffrances inhérentes à une privation de liberté. Ces circonstances</w:t>
      </w:r>
      <w:r w:rsidR="009B4AF4">
        <w:rPr>
          <w:lang w:val="fr-FR"/>
        </w:rPr>
        <w:t xml:space="preserve"> </w:t>
      </w:r>
      <w:r w:rsidR="0054513C" w:rsidRPr="00251A27">
        <w:rPr>
          <w:lang w:val="fr-FR"/>
        </w:rPr>
        <w:t>constituent un traitement dégradant</w:t>
      </w:r>
      <w:r w:rsidR="00104E40">
        <w:rPr>
          <w:lang w:val="fr-FR"/>
        </w:rPr>
        <w:t xml:space="preserve"> prohibé par l</w:t>
      </w:r>
      <w:r w:rsidR="005A6B8A">
        <w:rPr>
          <w:lang w:val="fr-FR"/>
        </w:rPr>
        <w:t>’</w:t>
      </w:r>
      <w:r w:rsidR="00104E40">
        <w:rPr>
          <w:lang w:val="fr-FR"/>
        </w:rPr>
        <w:t>article 3 de la Convention et emportent violation de cette disposition</w:t>
      </w:r>
      <w:r w:rsidR="0054513C" w:rsidRPr="00251A27">
        <w:rPr>
          <w:lang w:val="fr-FR"/>
        </w:rPr>
        <w:t>. L</w:t>
      </w:r>
      <w:r w:rsidR="005A6B8A">
        <w:rPr>
          <w:lang w:val="fr-FR"/>
        </w:rPr>
        <w:t>’</w:t>
      </w:r>
      <w:r w:rsidR="0054513C" w:rsidRPr="00251A27">
        <w:rPr>
          <w:lang w:val="fr-FR"/>
        </w:rPr>
        <w:t>absence d</w:t>
      </w:r>
      <w:r w:rsidR="005A6B8A">
        <w:rPr>
          <w:lang w:val="fr-FR"/>
        </w:rPr>
        <w:t>’</w:t>
      </w:r>
      <w:r w:rsidR="0054513C" w:rsidRPr="00251A27">
        <w:rPr>
          <w:lang w:val="fr-FR"/>
        </w:rPr>
        <w:t>éléments laissant penser que les autorités aient agi dans le but d</w:t>
      </w:r>
      <w:r w:rsidR="005A6B8A">
        <w:rPr>
          <w:lang w:val="fr-FR"/>
        </w:rPr>
        <w:t>’</w:t>
      </w:r>
      <w:r w:rsidR="0054513C" w:rsidRPr="00251A27">
        <w:rPr>
          <w:lang w:val="fr-FR"/>
        </w:rPr>
        <w:t>humilier ou de rabaisser le requérant ne change en rien ce constat (</w:t>
      </w:r>
      <w:r w:rsidR="0054513C" w:rsidRPr="00251A27">
        <w:rPr>
          <w:i/>
          <w:lang w:val="fr-FR"/>
        </w:rPr>
        <w:t>Farbtuhs</w:t>
      </w:r>
      <w:r w:rsidR="0054513C" w:rsidRPr="00251A27">
        <w:rPr>
          <w:lang w:val="fr-FR"/>
        </w:rPr>
        <w:t>, précité, §§ 50 et 60).</w:t>
      </w:r>
    </w:p>
    <w:p w:rsidR="00F1711F" w:rsidRPr="00F1711F" w:rsidRDefault="003766B5" w:rsidP="007876A2">
      <w:pPr>
        <w:pStyle w:val="ECHRHeading1"/>
        <w:rPr>
          <w:lang w:val="fr-FR"/>
        </w:rPr>
      </w:pPr>
      <w:r>
        <w:rPr>
          <w:lang w:val="fr-FR"/>
        </w:rPr>
        <w:t>II</w:t>
      </w:r>
      <w:r w:rsidR="00E77CB3" w:rsidRPr="00AD412E">
        <w:rPr>
          <w:lang w:val="fr-FR"/>
        </w:rPr>
        <w:t>.  SUR L</w:t>
      </w:r>
      <w:r w:rsidR="005A6B8A">
        <w:rPr>
          <w:lang w:val="fr-FR"/>
        </w:rPr>
        <w:t>’</w:t>
      </w:r>
      <w:r w:rsidR="00E77CB3" w:rsidRPr="00AD412E">
        <w:rPr>
          <w:lang w:val="fr-FR"/>
        </w:rPr>
        <w:t>ARTICLE 41 DE LA CONVENTION</w:t>
      </w:r>
    </w:p>
    <w:p w:rsidR="00E77CB3" w:rsidRPr="00AD412E" w:rsidRDefault="007876A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64</w:t>
      </w:r>
      <w:r>
        <w:rPr>
          <w:lang w:val="fr-FR"/>
        </w:rPr>
        <w:fldChar w:fldCharType="end"/>
      </w:r>
      <w:r>
        <w:rPr>
          <w:lang w:val="fr-FR"/>
        </w:rPr>
        <w:t>.  </w:t>
      </w:r>
      <w:r w:rsidR="00E77CB3" w:rsidRPr="00AD412E">
        <w:rPr>
          <w:lang w:val="fr-FR"/>
        </w:rPr>
        <w:t>Aux termes de l</w:t>
      </w:r>
      <w:r w:rsidR="005A6B8A">
        <w:rPr>
          <w:lang w:val="fr-FR"/>
        </w:rPr>
        <w:t>’</w:t>
      </w:r>
      <w:r w:rsidR="00E77CB3" w:rsidRPr="00AD412E">
        <w:rPr>
          <w:lang w:val="fr-FR"/>
        </w:rPr>
        <w:t>article 41 de la Convention,</w:t>
      </w:r>
    </w:p>
    <w:p w:rsidR="00E77CB3" w:rsidRPr="00AD412E" w:rsidRDefault="00E77CB3" w:rsidP="00E77CB3">
      <w:pPr>
        <w:pStyle w:val="ECHRParaQuote"/>
        <w:keepNext/>
        <w:keepLines/>
        <w:rPr>
          <w:lang w:val="fr-FR"/>
        </w:rPr>
      </w:pPr>
      <w:r w:rsidRPr="00AD412E">
        <w:rPr>
          <w:lang w:val="fr-FR"/>
        </w:rPr>
        <w:t>« Si la Cour déclare qu</w:t>
      </w:r>
      <w:r w:rsidR="005A6B8A">
        <w:rPr>
          <w:lang w:val="fr-FR"/>
        </w:rPr>
        <w:t>’</w:t>
      </w:r>
      <w:r w:rsidRPr="00AD412E">
        <w:rPr>
          <w:lang w:val="fr-FR"/>
        </w:rPr>
        <w:t>il y a eu violation de la Convention ou de ses Protocoles, et si le droit interne de la Haute Partie contractante ne permet d</w:t>
      </w:r>
      <w:r w:rsidR="005A6B8A">
        <w:rPr>
          <w:lang w:val="fr-FR"/>
        </w:rPr>
        <w:t>’</w:t>
      </w:r>
      <w:r w:rsidRPr="00AD412E">
        <w:rPr>
          <w:lang w:val="fr-FR"/>
        </w:rPr>
        <w:t>effacer qu</w:t>
      </w:r>
      <w:r w:rsidR="005A6B8A">
        <w:rPr>
          <w:lang w:val="fr-FR"/>
        </w:rPr>
        <w:t>’</w:t>
      </w:r>
      <w:r w:rsidRPr="00AD412E">
        <w:rPr>
          <w:lang w:val="fr-FR"/>
        </w:rPr>
        <w:t>imparfaitement les conséquences de cette violation, la Cour accorde à la partie lésée, s</w:t>
      </w:r>
      <w:r w:rsidR="005A6B8A">
        <w:rPr>
          <w:lang w:val="fr-FR"/>
        </w:rPr>
        <w:t>’</w:t>
      </w:r>
      <w:r w:rsidRPr="00AD412E">
        <w:rPr>
          <w:lang w:val="fr-FR"/>
        </w:rPr>
        <w:t>il y a lieu, une satisfaction équitable. »</w:t>
      </w:r>
    </w:p>
    <w:p w:rsidR="00E77CB3" w:rsidRPr="00AD412E" w:rsidRDefault="007876A2" w:rsidP="007876A2">
      <w:pPr>
        <w:pStyle w:val="ECHRHeading2"/>
        <w:rPr>
          <w:lang w:val="fr-FR"/>
        </w:rPr>
      </w:pPr>
      <w:r>
        <w:rPr>
          <w:lang w:val="fr-FR"/>
        </w:rPr>
        <w:t>A.</w:t>
      </w:r>
      <w:r w:rsidR="00E77CB3" w:rsidRPr="00AD412E">
        <w:rPr>
          <w:lang w:val="fr-FR"/>
        </w:rPr>
        <w:t>  Dommage</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65</w:t>
      </w:r>
      <w:r>
        <w:rPr>
          <w:lang w:val="fr-FR"/>
        </w:rPr>
        <w:fldChar w:fldCharType="end"/>
      </w:r>
      <w:r w:rsidR="00E77CB3" w:rsidRPr="00AD412E">
        <w:rPr>
          <w:lang w:val="fr-FR"/>
        </w:rPr>
        <w:t>.  </w:t>
      </w:r>
      <w:r w:rsidR="003766B5">
        <w:rPr>
          <w:lang w:val="fr-FR"/>
        </w:rPr>
        <w:t>Le</w:t>
      </w:r>
      <w:r w:rsidR="00E77CB3" w:rsidRPr="00AD412E">
        <w:rPr>
          <w:lang w:val="fr-FR"/>
        </w:rPr>
        <w:t xml:space="preserve"> réclame </w:t>
      </w:r>
      <w:r w:rsidR="003766B5">
        <w:rPr>
          <w:lang w:val="fr-FR"/>
        </w:rPr>
        <w:t>30 000</w:t>
      </w:r>
      <w:r w:rsidR="00E77CB3" w:rsidRPr="00AD412E">
        <w:rPr>
          <w:lang w:val="fr-FR"/>
        </w:rPr>
        <w:t xml:space="preserve"> euros (EUR) au titre du préjudice moral subi.</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66</w:t>
      </w:r>
      <w:r>
        <w:rPr>
          <w:lang w:val="fr-FR"/>
        </w:rPr>
        <w:fldChar w:fldCharType="end"/>
      </w:r>
      <w:r w:rsidR="00E77CB3" w:rsidRPr="00AD412E">
        <w:rPr>
          <w:lang w:val="fr-FR"/>
        </w:rPr>
        <w:t xml:space="preserve">.  Le Gouvernement </w:t>
      </w:r>
      <w:r w:rsidR="00720FC6">
        <w:rPr>
          <w:lang w:val="fr-FR"/>
        </w:rPr>
        <w:t>estime que la demande est excessive</w:t>
      </w:r>
      <w:r w:rsidR="00474553">
        <w:rPr>
          <w:lang w:val="fr-FR"/>
        </w:rPr>
        <w:t xml:space="preserve">. En cas de violation, </w:t>
      </w:r>
      <w:r w:rsidR="008B2660">
        <w:rPr>
          <w:lang w:val="fr-FR"/>
        </w:rPr>
        <w:t xml:space="preserve">un montant de </w:t>
      </w:r>
      <w:r w:rsidR="00720FC6">
        <w:rPr>
          <w:lang w:val="fr-FR"/>
        </w:rPr>
        <w:t>6 000 EUR</w:t>
      </w:r>
      <w:r w:rsidR="008B2660">
        <w:rPr>
          <w:lang w:val="fr-FR"/>
        </w:rPr>
        <w:t xml:space="preserve"> pourrait être alloué au requérant</w:t>
      </w:r>
      <w:r>
        <w:rPr>
          <w:lang w:val="fr-FR"/>
        </w:rPr>
        <w:t>.</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67</w:t>
      </w:r>
      <w:r>
        <w:rPr>
          <w:lang w:val="fr-FR"/>
        </w:rPr>
        <w:fldChar w:fldCharType="end"/>
      </w:r>
      <w:r w:rsidR="00E77CB3" w:rsidRPr="00AD412E">
        <w:rPr>
          <w:lang w:val="fr-FR"/>
        </w:rPr>
        <w:t>.  </w:t>
      </w:r>
      <w:r w:rsidR="007876A2">
        <w:rPr>
          <w:lang w:val="fr-FR"/>
        </w:rPr>
        <w:t>Dans les circonstances de la cause, l</w:t>
      </w:r>
      <w:r w:rsidR="00E77CB3" w:rsidRPr="00AD412E">
        <w:rPr>
          <w:lang w:val="fr-FR"/>
        </w:rPr>
        <w:t>a Cour considère qu</w:t>
      </w:r>
      <w:r w:rsidR="005A6B8A">
        <w:rPr>
          <w:lang w:val="fr-FR"/>
        </w:rPr>
        <w:t>’</w:t>
      </w:r>
      <w:r w:rsidR="00E77CB3" w:rsidRPr="00AD412E">
        <w:rPr>
          <w:lang w:val="fr-FR"/>
        </w:rPr>
        <w:t>il y a lieu d</w:t>
      </w:r>
      <w:r w:rsidR="005A6B8A">
        <w:rPr>
          <w:lang w:val="fr-FR"/>
        </w:rPr>
        <w:t>’</w:t>
      </w:r>
      <w:r w:rsidR="00E77CB3" w:rsidRPr="00AD412E">
        <w:rPr>
          <w:lang w:val="fr-FR"/>
        </w:rPr>
        <w:t xml:space="preserve">octroyer </w:t>
      </w:r>
      <w:r w:rsidRPr="00AD412E">
        <w:rPr>
          <w:lang w:val="fr-FR"/>
        </w:rPr>
        <w:t>au requérant</w:t>
      </w:r>
      <w:r w:rsidR="00E77CB3" w:rsidRPr="00AD412E">
        <w:rPr>
          <w:lang w:val="fr-FR"/>
        </w:rPr>
        <w:t xml:space="preserve"> </w:t>
      </w:r>
      <w:r w:rsidR="007876A2">
        <w:rPr>
          <w:lang w:val="fr-FR"/>
        </w:rPr>
        <w:t>7</w:t>
      </w:r>
      <w:r w:rsidR="00323EDC">
        <w:rPr>
          <w:lang w:val="fr-FR"/>
        </w:rPr>
        <w:t xml:space="preserve"> 000</w:t>
      </w:r>
      <w:r w:rsidR="00E77CB3" w:rsidRPr="00AD412E">
        <w:rPr>
          <w:lang w:val="fr-FR"/>
        </w:rPr>
        <w:t xml:space="preserve"> EUR au titre du préjudice moral.</w:t>
      </w:r>
    </w:p>
    <w:p w:rsidR="00E77CB3" w:rsidRPr="007876A2" w:rsidRDefault="007876A2" w:rsidP="007876A2">
      <w:pPr>
        <w:pStyle w:val="ECHRHeading2"/>
        <w:rPr>
          <w:lang w:val="fr-FR"/>
        </w:rPr>
      </w:pPr>
      <w:r>
        <w:rPr>
          <w:lang w:val="fr-FR"/>
        </w:rPr>
        <w:t>B</w:t>
      </w:r>
      <w:r w:rsidR="00E77CB3" w:rsidRPr="007876A2">
        <w:rPr>
          <w:lang w:val="fr-FR"/>
        </w:rPr>
        <w:t>.  Frais et dépens</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68</w:t>
      </w:r>
      <w:r>
        <w:rPr>
          <w:lang w:val="fr-FR"/>
        </w:rPr>
        <w:fldChar w:fldCharType="end"/>
      </w:r>
      <w:r w:rsidR="00E77CB3" w:rsidRPr="00AD412E">
        <w:rPr>
          <w:lang w:val="fr-FR"/>
        </w:rPr>
        <w:t>.  </w:t>
      </w:r>
      <w:r w:rsidRPr="00AD412E">
        <w:rPr>
          <w:lang w:val="fr-FR"/>
        </w:rPr>
        <w:t>Le requérant</w:t>
      </w:r>
      <w:r w:rsidR="00E77CB3" w:rsidRPr="00AD412E">
        <w:rPr>
          <w:lang w:val="fr-FR"/>
        </w:rPr>
        <w:t xml:space="preserve"> demande également </w:t>
      </w:r>
      <w:r w:rsidR="00720FC6">
        <w:rPr>
          <w:lang w:val="fr-FR"/>
        </w:rPr>
        <w:t>4</w:t>
      </w:r>
      <w:r w:rsidR="00474553">
        <w:rPr>
          <w:lang w:val="fr-FR"/>
        </w:rPr>
        <w:t xml:space="preserve"> </w:t>
      </w:r>
      <w:r w:rsidR="00720FC6">
        <w:rPr>
          <w:lang w:val="fr-FR"/>
        </w:rPr>
        <w:t>000</w:t>
      </w:r>
      <w:r w:rsidR="00E77CB3" w:rsidRPr="00AD412E">
        <w:rPr>
          <w:lang w:val="fr-FR"/>
        </w:rPr>
        <w:t xml:space="preserve"> EUR pour les frais et dépens engagés devant la Cour.</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69</w:t>
      </w:r>
      <w:r>
        <w:rPr>
          <w:lang w:val="fr-FR"/>
        </w:rPr>
        <w:fldChar w:fldCharType="end"/>
      </w:r>
      <w:r w:rsidR="00FF7F1B">
        <w:rPr>
          <w:lang w:val="fr-FR"/>
        </w:rPr>
        <w:t>.  </w:t>
      </w:r>
      <w:r w:rsidR="00E77CB3" w:rsidRPr="00AD412E">
        <w:rPr>
          <w:lang w:val="fr-FR"/>
        </w:rPr>
        <w:t>Le Gouvernement</w:t>
      </w:r>
      <w:r w:rsidR="00720FC6">
        <w:rPr>
          <w:lang w:val="fr-FR"/>
        </w:rPr>
        <w:t xml:space="preserve"> ne s</w:t>
      </w:r>
      <w:r w:rsidR="005A6B8A">
        <w:rPr>
          <w:lang w:val="fr-FR"/>
        </w:rPr>
        <w:t>’</w:t>
      </w:r>
      <w:r w:rsidR="00720FC6">
        <w:rPr>
          <w:lang w:val="fr-FR"/>
        </w:rPr>
        <w:t>oppose pas au versement de cette somme</w:t>
      </w:r>
      <w:r>
        <w:rPr>
          <w:lang w:val="fr-FR"/>
        </w:rPr>
        <w:t>.</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70</w:t>
      </w:r>
      <w:r>
        <w:rPr>
          <w:lang w:val="fr-FR"/>
        </w:rPr>
        <w:fldChar w:fldCharType="end"/>
      </w:r>
      <w:r w:rsidR="00E77CB3" w:rsidRPr="00AD412E">
        <w:rPr>
          <w:lang w:val="fr-FR"/>
        </w:rPr>
        <w:t>.  </w:t>
      </w:r>
      <w:r w:rsidRPr="00AD412E">
        <w:rPr>
          <w:lang w:val="fr-FR"/>
        </w:rPr>
        <w:t xml:space="preserve"> En l</w:t>
      </w:r>
      <w:r w:rsidR="005A6B8A">
        <w:rPr>
          <w:lang w:val="fr-FR"/>
        </w:rPr>
        <w:t>’</w:t>
      </w:r>
      <w:r w:rsidRPr="00AD412E">
        <w:rPr>
          <w:lang w:val="fr-FR"/>
        </w:rPr>
        <w:t>espèce</w:t>
      </w:r>
      <w:r w:rsidR="00F532A5">
        <w:rPr>
          <w:lang w:val="fr-FR"/>
        </w:rPr>
        <w:t>,</w:t>
      </w:r>
      <w:r w:rsidRPr="00AD412E">
        <w:rPr>
          <w:lang w:val="fr-FR"/>
        </w:rPr>
        <w:t xml:space="preserve"> et compte</w:t>
      </w:r>
      <w:r w:rsidR="00E77CB3" w:rsidRPr="00AD412E">
        <w:rPr>
          <w:lang w:val="fr-FR"/>
        </w:rPr>
        <w:t xml:space="preserve"> tenu des documents en sa possession et de sa jurisprudence, la Cour estime raisonnable la somme de </w:t>
      </w:r>
      <w:r w:rsidR="008E70DB">
        <w:rPr>
          <w:lang w:val="fr-FR"/>
        </w:rPr>
        <w:t>4</w:t>
      </w:r>
      <w:r w:rsidR="00474553">
        <w:rPr>
          <w:lang w:val="fr-FR"/>
        </w:rPr>
        <w:t xml:space="preserve"> </w:t>
      </w:r>
      <w:r w:rsidR="008E70DB">
        <w:rPr>
          <w:lang w:val="fr-FR"/>
        </w:rPr>
        <w:t>000</w:t>
      </w:r>
      <w:r w:rsidR="00E77CB3" w:rsidRPr="00AD412E">
        <w:rPr>
          <w:lang w:val="fr-FR"/>
        </w:rPr>
        <w:t xml:space="preserve"> EUR pour la procédure devant la Cour et l</w:t>
      </w:r>
      <w:r w:rsidR="005A6B8A">
        <w:rPr>
          <w:lang w:val="fr-FR"/>
        </w:rPr>
        <w:t>’</w:t>
      </w:r>
      <w:r w:rsidR="00E77CB3" w:rsidRPr="00AD412E">
        <w:rPr>
          <w:lang w:val="fr-FR"/>
        </w:rPr>
        <w:t xml:space="preserve">accorde </w:t>
      </w:r>
      <w:r w:rsidRPr="00AD412E">
        <w:rPr>
          <w:lang w:val="fr-FR"/>
        </w:rPr>
        <w:t>au requérant</w:t>
      </w:r>
      <w:r w:rsidR="00E77CB3" w:rsidRPr="00AD412E">
        <w:rPr>
          <w:lang w:val="fr-FR"/>
        </w:rPr>
        <w:t>.</w:t>
      </w:r>
    </w:p>
    <w:p w:rsidR="00E77CB3" w:rsidRPr="00AD412E" w:rsidRDefault="007876A2" w:rsidP="007876A2">
      <w:pPr>
        <w:pStyle w:val="ECHRHeading2"/>
        <w:rPr>
          <w:lang w:val="fr-FR"/>
        </w:rPr>
      </w:pPr>
      <w:r>
        <w:rPr>
          <w:lang w:val="fr-FR"/>
        </w:rPr>
        <w:t>C</w:t>
      </w:r>
      <w:r w:rsidR="00E77CB3" w:rsidRPr="00AD412E">
        <w:rPr>
          <w:lang w:val="fr-FR"/>
        </w:rPr>
        <w:t>.  Intérêts moratoires</w:t>
      </w:r>
    </w:p>
    <w:p w:rsidR="00E77CB3" w:rsidRPr="00AD412E" w:rsidRDefault="00A37952" w:rsidP="00C63990">
      <w:pPr>
        <w:pStyle w:val="ECHRPara"/>
        <w:rPr>
          <w:lang w:val="fr-FR"/>
        </w:rPr>
      </w:pPr>
      <w:r>
        <w:rPr>
          <w:lang w:val="fr-FR"/>
        </w:rPr>
        <w:fldChar w:fldCharType="begin"/>
      </w:r>
      <w:r>
        <w:rPr>
          <w:lang w:val="fr-FR"/>
        </w:rPr>
        <w:instrText xml:space="preserve"> SEQ level0 \*arabic </w:instrText>
      </w:r>
      <w:r>
        <w:rPr>
          <w:lang w:val="fr-FR"/>
        </w:rPr>
        <w:fldChar w:fldCharType="separate"/>
      </w:r>
      <w:r w:rsidR="00746EA9">
        <w:rPr>
          <w:noProof/>
          <w:lang w:val="fr-FR"/>
        </w:rPr>
        <w:t>71</w:t>
      </w:r>
      <w:r>
        <w:rPr>
          <w:lang w:val="fr-FR"/>
        </w:rPr>
        <w:fldChar w:fldCharType="end"/>
      </w:r>
      <w:r w:rsidR="00E77CB3" w:rsidRPr="00AD412E">
        <w:rPr>
          <w:lang w:val="fr-FR"/>
        </w:rPr>
        <w:t>.  La Cour juge approprié de calquer le taux des intérêts moratoires sur le taux d</w:t>
      </w:r>
      <w:r w:rsidR="005A6B8A">
        <w:rPr>
          <w:lang w:val="fr-FR"/>
        </w:rPr>
        <w:t>’</w:t>
      </w:r>
      <w:r w:rsidR="00E77CB3" w:rsidRPr="00AD412E">
        <w:rPr>
          <w:lang w:val="fr-FR"/>
        </w:rPr>
        <w:t>intérêt de la facilité de prêt marginal de la Banque centrale européenne majoré de trois points de pourcentage.</w:t>
      </w:r>
    </w:p>
    <w:p w:rsidR="00E77CB3" w:rsidRPr="00AD412E" w:rsidRDefault="00E77CB3" w:rsidP="00E77CB3">
      <w:pPr>
        <w:pStyle w:val="ECHRTitle1"/>
        <w:rPr>
          <w:lang w:val="fr-FR"/>
        </w:rPr>
      </w:pPr>
      <w:r w:rsidRPr="00AD412E">
        <w:rPr>
          <w:lang w:val="fr-FR"/>
        </w:rPr>
        <w:t>PAR CES M</w:t>
      </w:r>
      <w:r w:rsidR="003D2DC9">
        <w:rPr>
          <w:lang w:val="fr-FR"/>
        </w:rPr>
        <w:t>OTIFS, LA COUR</w:t>
      </w:r>
      <w:r w:rsidR="00A37952" w:rsidRPr="00AD412E">
        <w:rPr>
          <w:lang w:val="fr-FR"/>
        </w:rPr>
        <w:t>, À L</w:t>
      </w:r>
      <w:r w:rsidR="005A6B8A">
        <w:rPr>
          <w:lang w:val="fr-FR"/>
        </w:rPr>
        <w:t>’</w:t>
      </w:r>
      <w:r w:rsidR="00A37952" w:rsidRPr="00AD412E">
        <w:rPr>
          <w:lang w:val="fr-FR"/>
        </w:rPr>
        <w:t>UNANIMITÉ,</w:t>
      </w:r>
    </w:p>
    <w:p w:rsidR="00E77CB3" w:rsidRPr="00AD412E" w:rsidRDefault="00E77CB3" w:rsidP="00E77CB3">
      <w:pPr>
        <w:pStyle w:val="JuList"/>
        <w:rPr>
          <w:lang w:val="fr-FR"/>
        </w:rPr>
      </w:pPr>
      <w:r w:rsidRPr="00AD412E">
        <w:rPr>
          <w:lang w:val="fr-FR"/>
        </w:rPr>
        <w:t>1.  </w:t>
      </w:r>
      <w:r w:rsidRPr="00AD412E">
        <w:rPr>
          <w:i/>
          <w:lang w:val="fr-FR"/>
        </w:rPr>
        <w:t>Déclare</w:t>
      </w:r>
      <w:r w:rsidR="00A37952" w:rsidRPr="00AD412E">
        <w:rPr>
          <w:lang w:val="fr-FR"/>
        </w:rPr>
        <w:t xml:space="preserve"> la requête recevable</w:t>
      </w:r>
      <w:r w:rsidRPr="00AD412E">
        <w:rPr>
          <w:lang w:val="fr-FR"/>
        </w:rPr>
        <w:t> ;</w:t>
      </w:r>
    </w:p>
    <w:p w:rsidR="00E77CB3" w:rsidRPr="00AD412E" w:rsidRDefault="00E77CB3" w:rsidP="00E77CB3">
      <w:pPr>
        <w:pStyle w:val="JuList"/>
        <w:rPr>
          <w:lang w:val="fr-FR"/>
        </w:rPr>
      </w:pPr>
    </w:p>
    <w:p w:rsidR="00E77CB3" w:rsidRPr="00AD412E" w:rsidRDefault="00323EDC" w:rsidP="00E77CB3">
      <w:pPr>
        <w:pStyle w:val="JuList"/>
        <w:rPr>
          <w:lang w:val="fr-FR"/>
        </w:rPr>
      </w:pPr>
      <w:r>
        <w:rPr>
          <w:lang w:val="fr-FR"/>
        </w:rPr>
        <w:t>2</w:t>
      </w:r>
      <w:r w:rsidR="00E77CB3" w:rsidRPr="00AD412E">
        <w:rPr>
          <w:lang w:val="fr-FR"/>
        </w:rPr>
        <w:t>.  </w:t>
      </w:r>
      <w:r w:rsidR="00E77CB3" w:rsidRPr="00AD412E">
        <w:rPr>
          <w:i/>
          <w:lang w:val="fr-FR"/>
        </w:rPr>
        <w:t>Dit</w:t>
      </w:r>
      <w:r w:rsidR="00A37952" w:rsidRPr="00AD412E">
        <w:rPr>
          <w:lang w:val="fr-FR"/>
        </w:rPr>
        <w:t xml:space="preserve"> </w:t>
      </w:r>
      <w:r w:rsidR="00E77CB3" w:rsidRPr="00AD412E">
        <w:rPr>
          <w:lang w:val="fr-FR"/>
        </w:rPr>
        <w:t>qu</w:t>
      </w:r>
      <w:r w:rsidR="005A6B8A">
        <w:rPr>
          <w:lang w:val="fr-FR"/>
        </w:rPr>
        <w:t>’</w:t>
      </w:r>
      <w:r w:rsidR="00E77CB3" w:rsidRPr="00AD412E">
        <w:rPr>
          <w:lang w:val="fr-FR"/>
        </w:rPr>
        <w:t>il y a eu violation de l</w:t>
      </w:r>
      <w:r w:rsidR="005A6B8A">
        <w:rPr>
          <w:lang w:val="fr-FR"/>
        </w:rPr>
        <w:t>’</w:t>
      </w:r>
      <w:r w:rsidR="00E77CB3" w:rsidRPr="00AD412E">
        <w:rPr>
          <w:lang w:val="fr-FR"/>
        </w:rPr>
        <w:t xml:space="preserve">article </w:t>
      </w:r>
      <w:r w:rsidR="0054513C">
        <w:rPr>
          <w:lang w:val="fr-FR"/>
        </w:rPr>
        <w:t>3</w:t>
      </w:r>
      <w:r w:rsidR="00E77CB3" w:rsidRPr="00AD412E">
        <w:rPr>
          <w:lang w:val="fr-FR"/>
        </w:rPr>
        <w:t xml:space="preserve"> de la Convention ;</w:t>
      </w:r>
    </w:p>
    <w:p w:rsidR="00E77CB3" w:rsidRPr="00AD412E" w:rsidRDefault="00E77CB3" w:rsidP="00E77CB3">
      <w:pPr>
        <w:pStyle w:val="JuList"/>
        <w:rPr>
          <w:lang w:val="fr-FR"/>
        </w:rPr>
      </w:pPr>
    </w:p>
    <w:p w:rsidR="00E77CB3" w:rsidRPr="00AD412E" w:rsidRDefault="00323EDC" w:rsidP="00E77CB3">
      <w:pPr>
        <w:pStyle w:val="JuList"/>
        <w:rPr>
          <w:lang w:val="fr-FR"/>
        </w:rPr>
      </w:pPr>
      <w:r>
        <w:rPr>
          <w:lang w:val="fr-FR"/>
        </w:rPr>
        <w:t>3</w:t>
      </w:r>
      <w:r w:rsidR="00E77CB3" w:rsidRPr="00AD412E">
        <w:rPr>
          <w:lang w:val="fr-FR"/>
        </w:rPr>
        <w:t>.  </w:t>
      </w:r>
      <w:r w:rsidR="003D2DC9">
        <w:rPr>
          <w:i/>
          <w:lang w:val="fr-FR"/>
        </w:rPr>
        <w:t>Dit :</w:t>
      </w:r>
    </w:p>
    <w:p w:rsidR="00E77CB3" w:rsidRPr="00AD412E" w:rsidRDefault="00E77CB3" w:rsidP="00E77CB3">
      <w:pPr>
        <w:pStyle w:val="JuLista"/>
        <w:rPr>
          <w:lang w:val="fr-FR"/>
        </w:rPr>
      </w:pPr>
      <w:r w:rsidRPr="00AD412E">
        <w:rPr>
          <w:lang w:val="fr-FR"/>
        </w:rPr>
        <w:t>a)  que l</w:t>
      </w:r>
      <w:r w:rsidR="005A6B8A">
        <w:rPr>
          <w:lang w:val="fr-FR"/>
        </w:rPr>
        <w:t>’</w:t>
      </w:r>
      <w:r w:rsidRPr="00AD412E">
        <w:rPr>
          <w:lang w:val="fr-FR"/>
        </w:rPr>
        <w:t xml:space="preserve">État défendeur doit verser </w:t>
      </w:r>
      <w:r w:rsidR="00A37952" w:rsidRPr="00AD412E">
        <w:rPr>
          <w:lang w:val="fr-FR"/>
        </w:rPr>
        <w:t>au requérant</w:t>
      </w:r>
      <w:r w:rsidRPr="00AD412E">
        <w:rPr>
          <w:lang w:val="fr-FR"/>
        </w:rPr>
        <w:t>, dans les trois mois</w:t>
      </w:r>
      <w:r w:rsidR="00FF7F1B">
        <w:rPr>
          <w:lang w:val="fr-FR"/>
        </w:rPr>
        <w:t xml:space="preserve"> </w:t>
      </w:r>
      <w:r w:rsidR="00A37952" w:rsidRPr="00AD412E">
        <w:rPr>
          <w:lang w:val="fr-FR"/>
        </w:rPr>
        <w:t>à compter du jour où l</w:t>
      </w:r>
      <w:r w:rsidR="005A6B8A">
        <w:rPr>
          <w:lang w:val="fr-FR"/>
        </w:rPr>
        <w:t>’</w:t>
      </w:r>
      <w:r w:rsidR="00A37952" w:rsidRPr="00AD412E">
        <w:rPr>
          <w:lang w:val="fr-FR"/>
        </w:rPr>
        <w:t>arrêt sera devenu définitif conformément à l</w:t>
      </w:r>
      <w:r w:rsidR="005A6B8A">
        <w:rPr>
          <w:lang w:val="fr-FR"/>
        </w:rPr>
        <w:t>’</w:t>
      </w:r>
      <w:r w:rsidR="00A37952" w:rsidRPr="00AD412E">
        <w:rPr>
          <w:lang w:val="fr-FR"/>
        </w:rPr>
        <w:t>article 44 § 2 de la Convention</w:t>
      </w:r>
      <w:r w:rsidRPr="00AD412E">
        <w:rPr>
          <w:lang w:val="fr-FR"/>
        </w:rPr>
        <w:t>, les sommes suivantes :</w:t>
      </w:r>
    </w:p>
    <w:p w:rsidR="00E77CB3" w:rsidRPr="00AD412E" w:rsidRDefault="00E77CB3" w:rsidP="00E77CB3">
      <w:pPr>
        <w:pStyle w:val="JuListi"/>
        <w:rPr>
          <w:lang w:val="fr-FR" w:eastAsia="en-GB"/>
        </w:rPr>
      </w:pPr>
      <w:r w:rsidRPr="00AD412E">
        <w:rPr>
          <w:lang w:val="fr-FR" w:eastAsia="en-GB"/>
        </w:rPr>
        <w:t>i)  </w:t>
      </w:r>
      <w:r w:rsidR="005D342D">
        <w:rPr>
          <w:lang w:val="fr-FR" w:eastAsia="en-GB"/>
        </w:rPr>
        <w:t>7</w:t>
      </w:r>
      <w:r w:rsidR="00323EDC">
        <w:rPr>
          <w:lang w:val="fr-FR" w:eastAsia="en-GB"/>
        </w:rPr>
        <w:t xml:space="preserve"> 000</w:t>
      </w:r>
      <w:r w:rsidRPr="00AD412E">
        <w:rPr>
          <w:lang w:val="fr-FR" w:eastAsia="en-GB"/>
        </w:rPr>
        <w:t xml:space="preserve"> EUR (</w:t>
      </w:r>
      <w:r w:rsidR="005D342D">
        <w:rPr>
          <w:lang w:val="fr-FR" w:eastAsia="en-GB"/>
        </w:rPr>
        <w:t>sept</w:t>
      </w:r>
      <w:r w:rsidR="00323EDC">
        <w:rPr>
          <w:lang w:val="fr-FR" w:eastAsia="en-GB"/>
        </w:rPr>
        <w:t xml:space="preserve"> mille euros)</w:t>
      </w:r>
      <w:r w:rsidRPr="00AD412E">
        <w:rPr>
          <w:lang w:val="fr-FR" w:eastAsia="en-GB"/>
        </w:rPr>
        <w:t>, plus tout montant pouvant être dû à titre d</w:t>
      </w:r>
      <w:r w:rsidR="005A6B8A">
        <w:rPr>
          <w:lang w:val="fr-FR" w:eastAsia="en-GB"/>
        </w:rPr>
        <w:t>’</w:t>
      </w:r>
      <w:r w:rsidRPr="00AD412E">
        <w:rPr>
          <w:lang w:val="fr-FR" w:eastAsia="en-GB"/>
        </w:rPr>
        <w:t>impôt, pour dommage m</w:t>
      </w:r>
      <w:r w:rsidR="00323EDC">
        <w:rPr>
          <w:lang w:val="fr-FR" w:eastAsia="en-GB"/>
        </w:rPr>
        <w:t>oral</w:t>
      </w:r>
      <w:r w:rsidRPr="00AD412E">
        <w:rPr>
          <w:lang w:val="fr-FR" w:eastAsia="en-GB"/>
        </w:rPr>
        <w:t> ;</w:t>
      </w:r>
    </w:p>
    <w:p w:rsidR="00323EDC" w:rsidRPr="00AD412E" w:rsidRDefault="00E77CB3" w:rsidP="00323EDC">
      <w:pPr>
        <w:pStyle w:val="JuListi"/>
        <w:rPr>
          <w:lang w:val="fr-FR" w:eastAsia="en-GB"/>
        </w:rPr>
      </w:pPr>
      <w:r w:rsidRPr="00AD412E">
        <w:rPr>
          <w:lang w:val="fr-FR" w:eastAsia="en-GB"/>
        </w:rPr>
        <w:t>ii)  </w:t>
      </w:r>
      <w:r w:rsidR="00323EDC">
        <w:rPr>
          <w:lang w:val="fr-FR" w:eastAsia="en-GB"/>
        </w:rPr>
        <w:t>4 000</w:t>
      </w:r>
      <w:r w:rsidRPr="00AD412E">
        <w:rPr>
          <w:lang w:val="fr-FR" w:eastAsia="en-GB"/>
        </w:rPr>
        <w:t xml:space="preserve"> EUR (</w:t>
      </w:r>
      <w:r w:rsidR="00323EDC">
        <w:rPr>
          <w:lang w:val="fr-FR" w:eastAsia="en-GB"/>
        </w:rPr>
        <w:t>quatre mille</w:t>
      </w:r>
      <w:r w:rsidRPr="00AD412E">
        <w:rPr>
          <w:lang w:val="fr-FR" w:eastAsia="en-GB"/>
        </w:rPr>
        <w:t xml:space="preserve"> euros), plus tout montant pouvant être dû à titre d</w:t>
      </w:r>
      <w:r w:rsidR="005A6B8A">
        <w:rPr>
          <w:lang w:val="fr-FR" w:eastAsia="en-GB"/>
        </w:rPr>
        <w:t>’</w:t>
      </w:r>
      <w:r w:rsidRPr="00AD412E">
        <w:rPr>
          <w:lang w:val="fr-FR" w:eastAsia="en-GB"/>
        </w:rPr>
        <w:t>impôt</w:t>
      </w:r>
      <w:r w:rsidR="000A7A5C">
        <w:rPr>
          <w:lang w:val="fr-FR" w:eastAsia="en-GB"/>
        </w:rPr>
        <w:t xml:space="preserve"> par le requérant</w:t>
      </w:r>
      <w:r w:rsidRPr="00AD412E">
        <w:rPr>
          <w:lang w:val="fr-FR" w:eastAsia="en-GB"/>
        </w:rPr>
        <w:t xml:space="preserve">, </w:t>
      </w:r>
      <w:r w:rsidR="00323EDC" w:rsidRPr="00AD412E">
        <w:rPr>
          <w:lang w:val="fr-FR" w:eastAsia="en-GB"/>
        </w:rPr>
        <w:t>pour frais et dépens ;</w:t>
      </w:r>
    </w:p>
    <w:p w:rsidR="00E77CB3" w:rsidRPr="00AD412E" w:rsidRDefault="00E77CB3" w:rsidP="00E77CB3">
      <w:pPr>
        <w:pStyle w:val="JuLista"/>
        <w:rPr>
          <w:lang w:val="fr-FR"/>
        </w:rPr>
      </w:pPr>
      <w:r w:rsidRPr="00AD412E">
        <w:rPr>
          <w:lang w:val="fr-FR"/>
        </w:rPr>
        <w:t>b)  qu</w:t>
      </w:r>
      <w:r w:rsidR="005A6B8A">
        <w:rPr>
          <w:lang w:val="fr-FR"/>
        </w:rPr>
        <w:t>’</w:t>
      </w:r>
      <w:r w:rsidRPr="00AD412E">
        <w:rPr>
          <w:lang w:val="fr-FR"/>
        </w:rPr>
        <w:t>à compter de l</w:t>
      </w:r>
      <w:r w:rsidR="005A6B8A">
        <w:rPr>
          <w:lang w:val="fr-FR"/>
        </w:rPr>
        <w:t>’</w:t>
      </w:r>
      <w:r w:rsidRPr="00AD412E">
        <w:rPr>
          <w:lang w:val="fr-FR"/>
        </w:rPr>
        <w:t>expiration dudit délai et jusqu</w:t>
      </w:r>
      <w:r w:rsidR="005A6B8A">
        <w:rPr>
          <w:lang w:val="fr-FR"/>
        </w:rPr>
        <w:t>’</w:t>
      </w:r>
      <w:r w:rsidRPr="00AD412E">
        <w:rPr>
          <w:lang w:val="fr-FR"/>
        </w:rPr>
        <w:t>au versement, ces montants seront à majorer d</w:t>
      </w:r>
      <w:r w:rsidR="005A6B8A">
        <w:rPr>
          <w:lang w:val="fr-FR"/>
        </w:rPr>
        <w:t>’</w:t>
      </w:r>
      <w:r w:rsidRPr="00AD412E">
        <w:rPr>
          <w:lang w:val="fr-FR"/>
        </w:rPr>
        <w:t>un intérêt simple à un taux égal à celui de la facilité de prêt marginal de la Banque centrale européenne applicable pendant cette période, augmenté de trois points de pourcentage ;</w:t>
      </w:r>
    </w:p>
    <w:p w:rsidR="003D2DC9" w:rsidRDefault="003D2DC9">
      <w:pPr>
        <w:jc w:val="left"/>
        <w:rPr>
          <w:lang w:val="fr-FR"/>
        </w:rPr>
      </w:pPr>
      <w:r>
        <w:rPr>
          <w:lang w:val="fr-FR"/>
        </w:rPr>
        <w:br w:type="page"/>
      </w:r>
    </w:p>
    <w:p w:rsidR="00E77CB3" w:rsidRPr="00AD412E" w:rsidRDefault="00E77CB3" w:rsidP="00E77CB3">
      <w:pPr>
        <w:pStyle w:val="JuLista"/>
        <w:rPr>
          <w:lang w:val="fr-FR"/>
        </w:rPr>
      </w:pPr>
    </w:p>
    <w:p w:rsidR="00E77CB3" w:rsidRPr="00AD412E" w:rsidRDefault="00323EDC" w:rsidP="00E77CB3">
      <w:pPr>
        <w:pStyle w:val="JuList"/>
        <w:rPr>
          <w:lang w:val="fr-FR"/>
        </w:rPr>
      </w:pPr>
      <w:r>
        <w:rPr>
          <w:lang w:val="fr-FR"/>
        </w:rPr>
        <w:t>4</w:t>
      </w:r>
      <w:r w:rsidR="00E77CB3" w:rsidRPr="00AD412E">
        <w:rPr>
          <w:lang w:val="fr-FR"/>
        </w:rPr>
        <w:t>.  </w:t>
      </w:r>
      <w:r w:rsidR="00E77CB3" w:rsidRPr="00AD412E">
        <w:rPr>
          <w:i/>
          <w:lang w:val="fr-FR"/>
        </w:rPr>
        <w:t>Rejette</w:t>
      </w:r>
      <w:r w:rsidR="00A37952" w:rsidRPr="00AD412E">
        <w:rPr>
          <w:lang w:val="fr-FR"/>
        </w:rPr>
        <w:t xml:space="preserve"> </w:t>
      </w:r>
      <w:r w:rsidR="00E77CB3" w:rsidRPr="00AD412E">
        <w:rPr>
          <w:lang w:val="fr-FR"/>
        </w:rPr>
        <w:t>la demande de satisfaction équitable pour le surplus.</w:t>
      </w:r>
    </w:p>
    <w:p w:rsidR="00E77CB3" w:rsidRPr="00AD412E" w:rsidRDefault="00E77CB3" w:rsidP="00E77CB3">
      <w:pPr>
        <w:pStyle w:val="JuParaLast"/>
        <w:rPr>
          <w:lang w:val="fr-FR"/>
        </w:rPr>
      </w:pPr>
      <w:r w:rsidRPr="00AD412E">
        <w:rPr>
          <w:lang w:val="fr-FR"/>
        </w:rPr>
        <w:t>Fait en français, puis communiqué par écrit le </w:t>
      </w:r>
      <w:r w:rsidR="003D2DC9">
        <w:rPr>
          <w:lang w:val="fr-FR"/>
        </w:rPr>
        <w:t>19 février 2015</w:t>
      </w:r>
      <w:r w:rsidRPr="00AD412E">
        <w:rPr>
          <w:lang w:val="fr-FR"/>
        </w:rPr>
        <w:t>, en application de l</w:t>
      </w:r>
      <w:r w:rsidR="005A6B8A">
        <w:rPr>
          <w:lang w:val="fr-FR"/>
        </w:rPr>
        <w:t>’</w:t>
      </w:r>
      <w:r w:rsidRPr="00AD412E">
        <w:rPr>
          <w:lang w:val="fr-FR"/>
        </w:rPr>
        <w:t>article 77 §§ 2 et 3 du règlement.</w:t>
      </w:r>
    </w:p>
    <w:p w:rsidR="00E77CB3" w:rsidRPr="00AD412E" w:rsidRDefault="00A37952" w:rsidP="00E77CB3">
      <w:pPr>
        <w:pStyle w:val="JuSigned"/>
        <w:keepNext/>
        <w:keepLines/>
        <w:rPr>
          <w:lang w:val="fr-FR"/>
        </w:rPr>
      </w:pPr>
      <w:r w:rsidRPr="00AD412E">
        <w:rPr>
          <w:lang w:val="fr-FR"/>
        </w:rPr>
        <w:tab/>
      </w:r>
      <w:r>
        <w:rPr>
          <w:lang w:val="fr-FR"/>
        </w:rPr>
        <w:t>Claudia</w:t>
      </w:r>
      <w:r w:rsidRPr="00AD412E">
        <w:rPr>
          <w:lang w:val="fr-FR"/>
        </w:rPr>
        <w:t xml:space="preserve"> </w:t>
      </w:r>
      <w:r>
        <w:rPr>
          <w:lang w:val="fr-FR"/>
        </w:rPr>
        <w:t>Westerdiek</w:t>
      </w:r>
      <w:r w:rsidR="00E77CB3" w:rsidRPr="00AD412E">
        <w:rPr>
          <w:lang w:val="fr-FR"/>
        </w:rPr>
        <w:tab/>
      </w:r>
      <w:r>
        <w:rPr>
          <w:szCs w:val="24"/>
          <w:lang w:val="fr-FR"/>
        </w:rPr>
        <w:t>Mark</w:t>
      </w:r>
      <w:r w:rsidRPr="00AD412E">
        <w:rPr>
          <w:szCs w:val="24"/>
          <w:lang w:val="fr-FR"/>
        </w:rPr>
        <w:t xml:space="preserve"> </w:t>
      </w:r>
      <w:r>
        <w:rPr>
          <w:szCs w:val="24"/>
          <w:lang w:val="fr-FR"/>
        </w:rPr>
        <w:t>Villiger</w:t>
      </w:r>
      <w:r w:rsidR="00E77CB3" w:rsidRPr="00AD412E">
        <w:rPr>
          <w:lang w:val="fr-FR"/>
        </w:rPr>
        <w:br/>
      </w:r>
      <w:r w:rsidR="00E77CB3" w:rsidRPr="00AD412E">
        <w:rPr>
          <w:lang w:val="fr-FR"/>
        </w:rPr>
        <w:tab/>
      </w:r>
      <w:r w:rsidRPr="00AD412E">
        <w:rPr>
          <w:lang w:val="fr-FR"/>
        </w:rPr>
        <w:t>Greffière</w:t>
      </w:r>
      <w:r w:rsidR="00E77CB3" w:rsidRPr="00AD412E">
        <w:rPr>
          <w:lang w:val="fr-FR"/>
        </w:rPr>
        <w:tab/>
      </w:r>
      <w:r w:rsidRPr="00AD412E">
        <w:rPr>
          <w:lang w:val="fr-FR"/>
        </w:rPr>
        <w:t>Président</w:t>
      </w:r>
    </w:p>
    <w:p w:rsidR="004D15F3" w:rsidRPr="00AD412E" w:rsidRDefault="004D15F3" w:rsidP="00C36408">
      <w:pPr>
        <w:rPr>
          <w:lang w:val="fr-FR"/>
        </w:rPr>
      </w:pPr>
    </w:p>
    <w:sectPr w:rsidR="004D15F3" w:rsidRPr="00AD412E" w:rsidSect="00B134CD">
      <w:headerReference w:type="even" r:id="rId12"/>
      <w:headerReference w:type="default" r:id="rId13"/>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CD" w:rsidRDefault="00B134CD" w:rsidP="00E77CB3">
      <w:r>
        <w:separator/>
      </w:r>
    </w:p>
  </w:endnote>
  <w:endnote w:type="continuationSeparator" w:id="0">
    <w:p w:rsidR="00B134CD" w:rsidRDefault="00B134CD" w:rsidP="00E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D" w:rsidRPr="00150BFA" w:rsidRDefault="00B134CD" w:rsidP="00B134CD">
    <w:pPr>
      <w:jc w:val="center"/>
    </w:pPr>
    <w:r>
      <w:rPr>
        <w:noProof/>
        <w:lang w:eastAsia="ja-JP"/>
      </w:rPr>
      <w:drawing>
        <wp:inline distT="0" distB="0" distL="0" distR="0" wp14:anchorId="366F03E3" wp14:editId="5BF4DB61">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134CD" w:rsidRDefault="00B1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CD" w:rsidRDefault="00B134CD" w:rsidP="00E77CB3">
      <w:r>
        <w:separator/>
      </w:r>
    </w:p>
  </w:footnote>
  <w:footnote w:type="continuationSeparator" w:id="0">
    <w:p w:rsidR="00B134CD" w:rsidRDefault="00B134CD" w:rsidP="00E7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D" w:rsidRPr="00B134CD" w:rsidRDefault="00B134CD" w:rsidP="00B134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D" w:rsidRPr="00A45145" w:rsidRDefault="00B134CD" w:rsidP="00B134CD">
    <w:pPr>
      <w:jc w:val="center"/>
    </w:pPr>
    <w:r>
      <w:rPr>
        <w:noProof/>
        <w:lang w:eastAsia="ja-JP"/>
      </w:rPr>
      <w:drawing>
        <wp:inline distT="0" distB="0" distL="0" distR="0" wp14:anchorId="47C07934" wp14:editId="3DF68C3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134CD" w:rsidRDefault="00B13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D" w:rsidRPr="00DE593D" w:rsidRDefault="00B134CD" w:rsidP="00C611D8">
    <w:pPr>
      <w:pStyle w:val="ECHRHeader"/>
    </w:pPr>
    <w:r>
      <w:rPr>
        <w:rStyle w:val="PageNumber"/>
      </w:rPr>
      <w:fldChar w:fldCharType="begin"/>
    </w:r>
    <w:r>
      <w:rPr>
        <w:rStyle w:val="PageNumber"/>
      </w:rPr>
      <w:instrText xml:space="preserve"> PAGE </w:instrText>
    </w:r>
    <w:r>
      <w:rPr>
        <w:rStyle w:val="PageNumber"/>
      </w:rPr>
      <w:fldChar w:fldCharType="separate"/>
    </w:r>
    <w:r w:rsidR="00746EA9">
      <w:rPr>
        <w:rStyle w:val="PageNumber"/>
        <w:noProof/>
      </w:rPr>
      <w:t>57</w:t>
    </w:r>
    <w:r>
      <w:rPr>
        <w:rStyle w:val="PageNumber"/>
      </w:rPr>
      <w:fldChar w:fldCharType="end"/>
    </w:r>
    <w:r w:rsidRPr="00DE593D">
      <w:rPr>
        <w:rStyle w:val="PageNumber"/>
      </w:rPr>
      <w:tab/>
    </w:r>
    <w:r>
      <w:rPr>
        <w:noProof/>
        <w:lang w:val="en-GB"/>
      </w:rPr>
      <w:t>ARRÊT</w:t>
    </w:r>
    <w:r w:rsidRPr="00DE593D">
      <w:t xml:space="preserve"> </w:t>
    </w:r>
    <w:r>
      <w:t>HELHAL c. FRANCE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CD" w:rsidRPr="00DD5146" w:rsidRDefault="00B134CD" w:rsidP="00C63990">
    <w:pPr>
      <w:pStyle w:val="ECHRHeader"/>
    </w:pPr>
    <w:r w:rsidRPr="00C63990">
      <w:rPr>
        <w:lang w:val="fr-FR"/>
      </w:rPr>
      <w:tab/>
    </w:r>
    <w:r>
      <w:rPr>
        <w:noProof/>
        <w:lang w:val="en-GB"/>
      </w:rPr>
      <w:t>ARRÊT</w:t>
    </w:r>
    <w:r w:rsidRPr="00EB7E63">
      <w:rPr>
        <w:lang w:val="en-GB"/>
      </w:rPr>
      <w:t xml:space="preserve"> </w:t>
    </w:r>
    <w:r>
      <w:rPr>
        <w:lang w:val="en-GB"/>
      </w:rPr>
      <w:t>HELHAL c. FRANCE</w:t>
    </w:r>
    <w:r w:rsidRPr="00EB7E63">
      <w:rPr>
        <w:lang w:val="en-GB"/>
      </w:rPr>
      <w:tab/>
    </w:r>
    <w:r>
      <w:rPr>
        <w:rStyle w:val="PageNumber"/>
      </w:rPr>
      <w:fldChar w:fldCharType="begin"/>
    </w:r>
    <w:r>
      <w:rPr>
        <w:rStyle w:val="PageNumber"/>
      </w:rPr>
      <w:instrText xml:space="preserve"> PAGE </w:instrText>
    </w:r>
    <w:r>
      <w:rPr>
        <w:rStyle w:val="PageNumber"/>
      </w:rPr>
      <w:fldChar w:fldCharType="separate"/>
    </w:r>
    <w:r w:rsidR="00746EA9">
      <w:rPr>
        <w:rStyle w:val="PageNumber"/>
        <w:noProof/>
      </w:rPr>
      <w:t>57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A37952"/>
    <w:rsid w:val="000041F8"/>
    <w:rsid w:val="000042A8"/>
    <w:rsid w:val="00004308"/>
    <w:rsid w:val="00005451"/>
    <w:rsid w:val="00005BF0"/>
    <w:rsid w:val="00007154"/>
    <w:rsid w:val="000103AE"/>
    <w:rsid w:val="00010861"/>
    <w:rsid w:val="00011D69"/>
    <w:rsid w:val="00012AD3"/>
    <w:rsid w:val="00015C2D"/>
    <w:rsid w:val="00015F00"/>
    <w:rsid w:val="00020EC0"/>
    <w:rsid w:val="00022C1D"/>
    <w:rsid w:val="000240DC"/>
    <w:rsid w:val="00026DF1"/>
    <w:rsid w:val="00034987"/>
    <w:rsid w:val="0003660E"/>
    <w:rsid w:val="00036C1F"/>
    <w:rsid w:val="00041AAC"/>
    <w:rsid w:val="00046830"/>
    <w:rsid w:val="00053B36"/>
    <w:rsid w:val="00055E4F"/>
    <w:rsid w:val="00057BC0"/>
    <w:rsid w:val="000602DF"/>
    <w:rsid w:val="00061B05"/>
    <w:rsid w:val="000632D5"/>
    <w:rsid w:val="000644EE"/>
    <w:rsid w:val="00064AD9"/>
    <w:rsid w:val="00065C2B"/>
    <w:rsid w:val="00066A71"/>
    <w:rsid w:val="00067570"/>
    <w:rsid w:val="00074612"/>
    <w:rsid w:val="00074782"/>
    <w:rsid w:val="00076E72"/>
    <w:rsid w:val="0008085A"/>
    <w:rsid w:val="0008568A"/>
    <w:rsid w:val="000925AD"/>
    <w:rsid w:val="00094125"/>
    <w:rsid w:val="00097DF0"/>
    <w:rsid w:val="000A24EB"/>
    <w:rsid w:val="000A57B8"/>
    <w:rsid w:val="000A7A5C"/>
    <w:rsid w:val="000B0514"/>
    <w:rsid w:val="000B6923"/>
    <w:rsid w:val="000C5F3C"/>
    <w:rsid w:val="000C6DCC"/>
    <w:rsid w:val="000D2A60"/>
    <w:rsid w:val="000D47AA"/>
    <w:rsid w:val="000D6DE2"/>
    <w:rsid w:val="000D721F"/>
    <w:rsid w:val="000E0341"/>
    <w:rsid w:val="000E069B"/>
    <w:rsid w:val="000E0E82"/>
    <w:rsid w:val="000E1DC5"/>
    <w:rsid w:val="000E223F"/>
    <w:rsid w:val="000E2E79"/>
    <w:rsid w:val="000E4144"/>
    <w:rsid w:val="000E7D45"/>
    <w:rsid w:val="000F07A7"/>
    <w:rsid w:val="000F7851"/>
    <w:rsid w:val="00100D8D"/>
    <w:rsid w:val="00104E23"/>
    <w:rsid w:val="00104E40"/>
    <w:rsid w:val="001056CA"/>
    <w:rsid w:val="0011082E"/>
    <w:rsid w:val="00111B0C"/>
    <w:rsid w:val="001130F2"/>
    <w:rsid w:val="00113434"/>
    <w:rsid w:val="001207E0"/>
    <w:rsid w:val="00120D6C"/>
    <w:rsid w:val="001257EC"/>
    <w:rsid w:val="00130BF6"/>
    <w:rsid w:val="0013250F"/>
    <w:rsid w:val="00133D33"/>
    <w:rsid w:val="00134D64"/>
    <w:rsid w:val="00135A30"/>
    <w:rsid w:val="00135D17"/>
    <w:rsid w:val="0013612C"/>
    <w:rsid w:val="00137FF6"/>
    <w:rsid w:val="00141031"/>
    <w:rsid w:val="00141650"/>
    <w:rsid w:val="001464BF"/>
    <w:rsid w:val="001465A4"/>
    <w:rsid w:val="00152082"/>
    <w:rsid w:val="00152D10"/>
    <w:rsid w:val="001558C2"/>
    <w:rsid w:val="00155993"/>
    <w:rsid w:val="00155FD6"/>
    <w:rsid w:val="00162078"/>
    <w:rsid w:val="00162A12"/>
    <w:rsid w:val="00166530"/>
    <w:rsid w:val="00171208"/>
    <w:rsid w:val="00173CDB"/>
    <w:rsid w:val="00173DD0"/>
    <w:rsid w:val="00181F4E"/>
    <w:rsid w:val="001832BD"/>
    <w:rsid w:val="001943B5"/>
    <w:rsid w:val="00195134"/>
    <w:rsid w:val="001977B9"/>
    <w:rsid w:val="001A145B"/>
    <w:rsid w:val="001A674C"/>
    <w:rsid w:val="001B0E1E"/>
    <w:rsid w:val="001B3B24"/>
    <w:rsid w:val="001B4B0C"/>
    <w:rsid w:val="001B5549"/>
    <w:rsid w:val="001C0F98"/>
    <w:rsid w:val="001C2A42"/>
    <w:rsid w:val="001C2CCC"/>
    <w:rsid w:val="001D23B4"/>
    <w:rsid w:val="001D2831"/>
    <w:rsid w:val="001D462C"/>
    <w:rsid w:val="001D5645"/>
    <w:rsid w:val="001D63ED"/>
    <w:rsid w:val="001D7348"/>
    <w:rsid w:val="001E02F5"/>
    <w:rsid w:val="001E035B"/>
    <w:rsid w:val="001E0961"/>
    <w:rsid w:val="001E0C7D"/>
    <w:rsid w:val="001E3EAE"/>
    <w:rsid w:val="001E543E"/>
    <w:rsid w:val="001E5673"/>
    <w:rsid w:val="001E65C9"/>
    <w:rsid w:val="001E6F32"/>
    <w:rsid w:val="001F2145"/>
    <w:rsid w:val="001F3930"/>
    <w:rsid w:val="001F4DB6"/>
    <w:rsid w:val="001F5464"/>
    <w:rsid w:val="001F6262"/>
    <w:rsid w:val="001F67B0"/>
    <w:rsid w:val="001F688B"/>
    <w:rsid w:val="001F7B3D"/>
    <w:rsid w:val="00200584"/>
    <w:rsid w:val="00205F9F"/>
    <w:rsid w:val="0020600E"/>
    <w:rsid w:val="00210338"/>
    <w:rsid w:val="002115FC"/>
    <w:rsid w:val="0021423C"/>
    <w:rsid w:val="002179F7"/>
    <w:rsid w:val="002219CD"/>
    <w:rsid w:val="0022362B"/>
    <w:rsid w:val="00230D00"/>
    <w:rsid w:val="00231DF7"/>
    <w:rsid w:val="00231FD1"/>
    <w:rsid w:val="002339E0"/>
    <w:rsid w:val="00233CF8"/>
    <w:rsid w:val="0023575D"/>
    <w:rsid w:val="00236C02"/>
    <w:rsid w:val="00237148"/>
    <w:rsid w:val="00237271"/>
    <w:rsid w:val="002374BD"/>
    <w:rsid w:val="0024222D"/>
    <w:rsid w:val="0024455B"/>
    <w:rsid w:val="00244A54"/>
    <w:rsid w:val="00244B0E"/>
    <w:rsid w:val="00244F6C"/>
    <w:rsid w:val="00246030"/>
    <w:rsid w:val="002473EE"/>
    <w:rsid w:val="00250D38"/>
    <w:rsid w:val="00251A27"/>
    <w:rsid w:val="002532C5"/>
    <w:rsid w:val="00255FCC"/>
    <w:rsid w:val="00260C03"/>
    <w:rsid w:val="002652A0"/>
    <w:rsid w:val="0026540E"/>
    <w:rsid w:val="00266449"/>
    <w:rsid w:val="0027202E"/>
    <w:rsid w:val="002721E3"/>
    <w:rsid w:val="002736C0"/>
    <w:rsid w:val="00275123"/>
    <w:rsid w:val="00275E2B"/>
    <w:rsid w:val="00277C3E"/>
    <w:rsid w:val="002811B9"/>
    <w:rsid w:val="00282240"/>
    <w:rsid w:val="002828E7"/>
    <w:rsid w:val="00286061"/>
    <w:rsid w:val="00286967"/>
    <w:rsid w:val="002905D2"/>
    <w:rsid w:val="002948AD"/>
    <w:rsid w:val="002A01CC"/>
    <w:rsid w:val="002A0A8D"/>
    <w:rsid w:val="002A61B1"/>
    <w:rsid w:val="002A663C"/>
    <w:rsid w:val="002B2867"/>
    <w:rsid w:val="002B444B"/>
    <w:rsid w:val="002B5887"/>
    <w:rsid w:val="002C0E27"/>
    <w:rsid w:val="002C1EDE"/>
    <w:rsid w:val="002C3040"/>
    <w:rsid w:val="002C5668"/>
    <w:rsid w:val="002D022D"/>
    <w:rsid w:val="002D20C1"/>
    <w:rsid w:val="002D24BB"/>
    <w:rsid w:val="002E02CB"/>
    <w:rsid w:val="002E143F"/>
    <w:rsid w:val="002E380E"/>
    <w:rsid w:val="002F2AF7"/>
    <w:rsid w:val="002F7E1C"/>
    <w:rsid w:val="00301A75"/>
    <w:rsid w:val="00302F70"/>
    <w:rsid w:val="0030336F"/>
    <w:rsid w:val="0030375E"/>
    <w:rsid w:val="003118FF"/>
    <w:rsid w:val="00312A30"/>
    <w:rsid w:val="00312ED8"/>
    <w:rsid w:val="0031662C"/>
    <w:rsid w:val="00320F72"/>
    <w:rsid w:val="00320F8F"/>
    <w:rsid w:val="00321E9A"/>
    <w:rsid w:val="00322988"/>
    <w:rsid w:val="003232D7"/>
    <w:rsid w:val="00323EDC"/>
    <w:rsid w:val="0032463E"/>
    <w:rsid w:val="00325DA1"/>
    <w:rsid w:val="00326224"/>
    <w:rsid w:val="0033151A"/>
    <w:rsid w:val="00331B5D"/>
    <w:rsid w:val="0033441D"/>
    <w:rsid w:val="003355B1"/>
    <w:rsid w:val="00335B2E"/>
    <w:rsid w:val="003363EF"/>
    <w:rsid w:val="003370B2"/>
    <w:rsid w:val="00337A7B"/>
    <w:rsid w:val="00337EE4"/>
    <w:rsid w:val="00340FFD"/>
    <w:rsid w:val="0034298A"/>
    <w:rsid w:val="003502E4"/>
    <w:rsid w:val="003506B1"/>
    <w:rsid w:val="00356AC7"/>
    <w:rsid w:val="003609FA"/>
    <w:rsid w:val="00366F97"/>
    <w:rsid w:val="003710C8"/>
    <w:rsid w:val="003750BE"/>
    <w:rsid w:val="003766B5"/>
    <w:rsid w:val="00383286"/>
    <w:rsid w:val="00387854"/>
    <w:rsid w:val="00387B9D"/>
    <w:rsid w:val="0039364F"/>
    <w:rsid w:val="00396686"/>
    <w:rsid w:val="003976B1"/>
    <w:rsid w:val="0039778E"/>
    <w:rsid w:val="003B4941"/>
    <w:rsid w:val="003C11FC"/>
    <w:rsid w:val="003C2654"/>
    <w:rsid w:val="003C5714"/>
    <w:rsid w:val="003C6B9F"/>
    <w:rsid w:val="003C6E2A"/>
    <w:rsid w:val="003D0299"/>
    <w:rsid w:val="003D2DC9"/>
    <w:rsid w:val="003D421C"/>
    <w:rsid w:val="003D5191"/>
    <w:rsid w:val="003D5200"/>
    <w:rsid w:val="003E3F6F"/>
    <w:rsid w:val="003E4B94"/>
    <w:rsid w:val="003E5B29"/>
    <w:rsid w:val="003E6D80"/>
    <w:rsid w:val="003F05FA"/>
    <w:rsid w:val="003F201D"/>
    <w:rsid w:val="003F244A"/>
    <w:rsid w:val="003F2565"/>
    <w:rsid w:val="003F2847"/>
    <w:rsid w:val="003F2B66"/>
    <w:rsid w:val="003F2FFF"/>
    <w:rsid w:val="003F30B8"/>
    <w:rsid w:val="003F4C45"/>
    <w:rsid w:val="003F54B4"/>
    <w:rsid w:val="003F5F05"/>
    <w:rsid w:val="003F5F7B"/>
    <w:rsid w:val="003F7D64"/>
    <w:rsid w:val="00402175"/>
    <w:rsid w:val="0040444B"/>
    <w:rsid w:val="00413B17"/>
    <w:rsid w:val="00414300"/>
    <w:rsid w:val="00414764"/>
    <w:rsid w:val="00415B6F"/>
    <w:rsid w:val="004167DE"/>
    <w:rsid w:val="00420942"/>
    <w:rsid w:val="00420E8D"/>
    <w:rsid w:val="00423BC9"/>
    <w:rsid w:val="00425C67"/>
    <w:rsid w:val="00427A69"/>
    <w:rsid w:val="00427E7A"/>
    <w:rsid w:val="00436C49"/>
    <w:rsid w:val="00440E90"/>
    <w:rsid w:val="00443828"/>
    <w:rsid w:val="00443FF2"/>
    <w:rsid w:val="00444DE7"/>
    <w:rsid w:val="00445366"/>
    <w:rsid w:val="00447F5B"/>
    <w:rsid w:val="00452C6F"/>
    <w:rsid w:val="00461DB0"/>
    <w:rsid w:val="00463926"/>
    <w:rsid w:val="004645A0"/>
    <w:rsid w:val="00464C9A"/>
    <w:rsid w:val="00465FAF"/>
    <w:rsid w:val="00474553"/>
    <w:rsid w:val="00474F3D"/>
    <w:rsid w:val="00475701"/>
    <w:rsid w:val="00476791"/>
    <w:rsid w:val="00477867"/>
    <w:rsid w:val="00477E3A"/>
    <w:rsid w:val="0048081B"/>
    <w:rsid w:val="00483E5F"/>
    <w:rsid w:val="00485AF2"/>
    <w:rsid w:val="00485FF9"/>
    <w:rsid w:val="004907F0"/>
    <w:rsid w:val="0049140B"/>
    <w:rsid w:val="004923A5"/>
    <w:rsid w:val="00496BFB"/>
    <w:rsid w:val="004A15C7"/>
    <w:rsid w:val="004A16A6"/>
    <w:rsid w:val="004A2A5E"/>
    <w:rsid w:val="004A38B5"/>
    <w:rsid w:val="004B013B"/>
    <w:rsid w:val="004B0266"/>
    <w:rsid w:val="004B056D"/>
    <w:rsid w:val="004B112B"/>
    <w:rsid w:val="004C01E4"/>
    <w:rsid w:val="004C086C"/>
    <w:rsid w:val="004C1F56"/>
    <w:rsid w:val="004C27BC"/>
    <w:rsid w:val="004C3599"/>
    <w:rsid w:val="004C7828"/>
    <w:rsid w:val="004D15F3"/>
    <w:rsid w:val="004D5311"/>
    <w:rsid w:val="004D5DCC"/>
    <w:rsid w:val="004D5FA6"/>
    <w:rsid w:val="004D76E3"/>
    <w:rsid w:val="004E3356"/>
    <w:rsid w:val="004E37EA"/>
    <w:rsid w:val="004F08BB"/>
    <w:rsid w:val="004F10AF"/>
    <w:rsid w:val="004F11A4"/>
    <w:rsid w:val="004F1B09"/>
    <w:rsid w:val="004F2389"/>
    <w:rsid w:val="004F2696"/>
    <w:rsid w:val="004F2979"/>
    <w:rsid w:val="004F304D"/>
    <w:rsid w:val="004F61BE"/>
    <w:rsid w:val="004F66B1"/>
    <w:rsid w:val="004F7E94"/>
    <w:rsid w:val="00505273"/>
    <w:rsid w:val="00511C07"/>
    <w:rsid w:val="00514AAA"/>
    <w:rsid w:val="00515364"/>
    <w:rsid w:val="005157D5"/>
    <w:rsid w:val="005173A6"/>
    <w:rsid w:val="00520AD0"/>
    <w:rsid w:val="00520BAA"/>
    <w:rsid w:val="0052236E"/>
    <w:rsid w:val="00522550"/>
    <w:rsid w:val="00525208"/>
    <w:rsid w:val="005257A5"/>
    <w:rsid w:val="005264C0"/>
    <w:rsid w:val="00526787"/>
    <w:rsid w:val="00526A8A"/>
    <w:rsid w:val="005310FD"/>
    <w:rsid w:val="00531AB6"/>
    <w:rsid w:val="00531DF2"/>
    <w:rsid w:val="00543943"/>
    <w:rsid w:val="00543EB4"/>
    <w:rsid w:val="005442EE"/>
    <w:rsid w:val="0054513C"/>
    <w:rsid w:val="00545953"/>
    <w:rsid w:val="00547353"/>
    <w:rsid w:val="005474E7"/>
    <w:rsid w:val="005512A3"/>
    <w:rsid w:val="005565E8"/>
    <w:rsid w:val="005578CE"/>
    <w:rsid w:val="00557B54"/>
    <w:rsid w:val="00562781"/>
    <w:rsid w:val="00566556"/>
    <w:rsid w:val="00570E8D"/>
    <w:rsid w:val="0057271C"/>
    <w:rsid w:val="00572845"/>
    <w:rsid w:val="00580787"/>
    <w:rsid w:val="0058507E"/>
    <w:rsid w:val="00587303"/>
    <w:rsid w:val="00592772"/>
    <w:rsid w:val="0059574A"/>
    <w:rsid w:val="00596468"/>
    <w:rsid w:val="005974C3"/>
    <w:rsid w:val="005978A0"/>
    <w:rsid w:val="005A0872"/>
    <w:rsid w:val="005A1B9B"/>
    <w:rsid w:val="005A2732"/>
    <w:rsid w:val="005A4AC9"/>
    <w:rsid w:val="005A6751"/>
    <w:rsid w:val="005A6B8A"/>
    <w:rsid w:val="005B092E"/>
    <w:rsid w:val="005B152C"/>
    <w:rsid w:val="005B1EE0"/>
    <w:rsid w:val="005B2B24"/>
    <w:rsid w:val="005B412A"/>
    <w:rsid w:val="005B4425"/>
    <w:rsid w:val="005B4436"/>
    <w:rsid w:val="005B4B94"/>
    <w:rsid w:val="005B4CB4"/>
    <w:rsid w:val="005C3EE8"/>
    <w:rsid w:val="005D1A9E"/>
    <w:rsid w:val="005D342D"/>
    <w:rsid w:val="005D34F9"/>
    <w:rsid w:val="005D4190"/>
    <w:rsid w:val="005D67A3"/>
    <w:rsid w:val="005E1D93"/>
    <w:rsid w:val="005E2988"/>
    <w:rsid w:val="005E2C51"/>
    <w:rsid w:val="005E3085"/>
    <w:rsid w:val="005E7989"/>
    <w:rsid w:val="005F0FDC"/>
    <w:rsid w:val="005F51E1"/>
    <w:rsid w:val="005F641A"/>
    <w:rsid w:val="0060121F"/>
    <w:rsid w:val="00605E0A"/>
    <w:rsid w:val="00611C80"/>
    <w:rsid w:val="00614DA7"/>
    <w:rsid w:val="00620692"/>
    <w:rsid w:val="006242CA"/>
    <w:rsid w:val="00624AB0"/>
    <w:rsid w:val="00626444"/>
    <w:rsid w:val="00627507"/>
    <w:rsid w:val="0063276F"/>
    <w:rsid w:val="006334BC"/>
    <w:rsid w:val="00633717"/>
    <w:rsid w:val="006344E1"/>
    <w:rsid w:val="006348B3"/>
    <w:rsid w:val="00637C63"/>
    <w:rsid w:val="006455FD"/>
    <w:rsid w:val="00645B31"/>
    <w:rsid w:val="00650DF4"/>
    <w:rsid w:val="006545C4"/>
    <w:rsid w:val="00661971"/>
    <w:rsid w:val="00661CE8"/>
    <w:rsid w:val="006623D9"/>
    <w:rsid w:val="0066550C"/>
    <w:rsid w:val="00667B26"/>
    <w:rsid w:val="006716F2"/>
    <w:rsid w:val="0067769E"/>
    <w:rsid w:val="00682520"/>
    <w:rsid w:val="00682BF2"/>
    <w:rsid w:val="00683D06"/>
    <w:rsid w:val="006859CE"/>
    <w:rsid w:val="00687B45"/>
    <w:rsid w:val="00690D1E"/>
    <w:rsid w:val="00690EA1"/>
    <w:rsid w:val="00691270"/>
    <w:rsid w:val="00694BA8"/>
    <w:rsid w:val="006A037C"/>
    <w:rsid w:val="006A0FEE"/>
    <w:rsid w:val="006A36F4"/>
    <w:rsid w:val="006A406F"/>
    <w:rsid w:val="006A5206"/>
    <w:rsid w:val="006A5D3A"/>
    <w:rsid w:val="006B3267"/>
    <w:rsid w:val="006C23D4"/>
    <w:rsid w:val="006C4B66"/>
    <w:rsid w:val="006C7BB0"/>
    <w:rsid w:val="006D0E74"/>
    <w:rsid w:val="006D2400"/>
    <w:rsid w:val="006D3237"/>
    <w:rsid w:val="006D5FFF"/>
    <w:rsid w:val="006E2E37"/>
    <w:rsid w:val="006E3CF1"/>
    <w:rsid w:val="006E4B8D"/>
    <w:rsid w:val="006E73D6"/>
    <w:rsid w:val="006E7E80"/>
    <w:rsid w:val="006F0241"/>
    <w:rsid w:val="006F2ACF"/>
    <w:rsid w:val="006F3CCA"/>
    <w:rsid w:val="006F48CA"/>
    <w:rsid w:val="006F64DD"/>
    <w:rsid w:val="006F7E90"/>
    <w:rsid w:val="00701114"/>
    <w:rsid w:val="007047C5"/>
    <w:rsid w:val="00713E8C"/>
    <w:rsid w:val="00715127"/>
    <w:rsid w:val="00715E8E"/>
    <w:rsid w:val="00720FC6"/>
    <w:rsid w:val="00723580"/>
    <w:rsid w:val="00723755"/>
    <w:rsid w:val="00723DCE"/>
    <w:rsid w:val="00725253"/>
    <w:rsid w:val="0073136C"/>
    <w:rsid w:val="00731F0F"/>
    <w:rsid w:val="00733250"/>
    <w:rsid w:val="0073646F"/>
    <w:rsid w:val="0074002D"/>
    <w:rsid w:val="00741404"/>
    <w:rsid w:val="00742094"/>
    <w:rsid w:val="007449E5"/>
    <w:rsid w:val="00746EA9"/>
    <w:rsid w:val="00747FF0"/>
    <w:rsid w:val="0075150E"/>
    <w:rsid w:val="007609E9"/>
    <w:rsid w:val="00764D4E"/>
    <w:rsid w:val="00765A1F"/>
    <w:rsid w:val="007716DA"/>
    <w:rsid w:val="00773846"/>
    <w:rsid w:val="00775B6D"/>
    <w:rsid w:val="00776D68"/>
    <w:rsid w:val="007850EE"/>
    <w:rsid w:val="00785B95"/>
    <w:rsid w:val="007876A2"/>
    <w:rsid w:val="00790E96"/>
    <w:rsid w:val="00793366"/>
    <w:rsid w:val="0079359B"/>
    <w:rsid w:val="007943EA"/>
    <w:rsid w:val="007952DA"/>
    <w:rsid w:val="007A153C"/>
    <w:rsid w:val="007A716F"/>
    <w:rsid w:val="007B0668"/>
    <w:rsid w:val="007B0F97"/>
    <w:rsid w:val="007B270A"/>
    <w:rsid w:val="007B38F4"/>
    <w:rsid w:val="007B4B56"/>
    <w:rsid w:val="007B5FD5"/>
    <w:rsid w:val="007C0695"/>
    <w:rsid w:val="007C096D"/>
    <w:rsid w:val="007C419A"/>
    <w:rsid w:val="007C4CC8"/>
    <w:rsid w:val="007C5426"/>
    <w:rsid w:val="007C5798"/>
    <w:rsid w:val="007C6F93"/>
    <w:rsid w:val="007C6FDB"/>
    <w:rsid w:val="007C7546"/>
    <w:rsid w:val="007D4832"/>
    <w:rsid w:val="007D776D"/>
    <w:rsid w:val="007E20BE"/>
    <w:rsid w:val="007E21B2"/>
    <w:rsid w:val="007E2C4E"/>
    <w:rsid w:val="007E5882"/>
    <w:rsid w:val="007F1905"/>
    <w:rsid w:val="007F7604"/>
    <w:rsid w:val="00801300"/>
    <w:rsid w:val="00802C64"/>
    <w:rsid w:val="00803208"/>
    <w:rsid w:val="00803216"/>
    <w:rsid w:val="00805E52"/>
    <w:rsid w:val="008061D0"/>
    <w:rsid w:val="00810B38"/>
    <w:rsid w:val="00813045"/>
    <w:rsid w:val="00814471"/>
    <w:rsid w:val="00817837"/>
    <w:rsid w:val="008204C7"/>
    <w:rsid w:val="00820992"/>
    <w:rsid w:val="00823602"/>
    <w:rsid w:val="008255F5"/>
    <w:rsid w:val="0083014E"/>
    <w:rsid w:val="00831995"/>
    <w:rsid w:val="00831E8B"/>
    <w:rsid w:val="0083214A"/>
    <w:rsid w:val="00834220"/>
    <w:rsid w:val="00835E4D"/>
    <w:rsid w:val="0084351A"/>
    <w:rsid w:val="00843C63"/>
    <w:rsid w:val="00845723"/>
    <w:rsid w:val="00846A0D"/>
    <w:rsid w:val="00851EF9"/>
    <w:rsid w:val="00855D3B"/>
    <w:rsid w:val="00856176"/>
    <w:rsid w:val="008577FD"/>
    <w:rsid w:val="00860B03"/>
    <w:rsid w:val="00861298"/>
    <w:rsid w:val="0086497A"/>
    <w:rsid w:val="008713A1"/>
    <w:rsid w:val="00874663"/>
    <w:rsid w:val="008754AB"/>
    <w:rsid w:val="008804CA"/>
    <w:rsid w:val="0088060C"/>
    <w:rsid w:val="0089076C"/>
    <w:rsid w:val="00893576"/>
    <w:rsid w:val="00893E73"/>
    <w:rsid w:val="008A1F7F"/>
    <w:rsid w:val="008A4C50"/>
    <w:rsid w:val="008B02DC"/>
    <w:rsid w:val="008B2528"/>
    <w:rsid w:val="008B2660"/>
    <w:rsid w:val="008B35C8"/>
    <w:rsid w:val="008B57CE"/>
    <w:rsid w:val="008B6064"/>
    <w:rsid w:val="008C1A9A"/>
    <w:rsid w:val="008C26DE"/>
    <w:rsid w:val="008C4385"/>
    <w:rsid w:val="008C7B7A"/>
    <w:rsid w:val="008D2159"/>
    <w:rsid w:val="008D2225"/>
    <w:rsid w:val="008D3075"/>
    <w:rsid w:val="008D3942"/>
    <w:rsid w:val="008D4752"/>
    <w:rsid w:val="008E271C"/>
    <w:rsid w:val="008E3E30"/>
    <w:rsid w:val="008E418E"/>
    <w:rsid w:val="008E4359"/>
    <w:rsid w:val="008E5BC6"/>
    <w:rsid w:val="008E6A25"/>
    <w:rsid w:val="008E70DB"/>
    <w:rsid w:val="008F148F"/>
    <w:rsid w:val="008F271D"/>
    <w:rsid w:val="008F5193"/>
    <w:rsid w:val="009013A7"/>
    <w:rsid w:val="009017FB"/>
    <w:rsid w:val="009017FC"/>
    <w:rsid w:val="00902E56"/>
    <w:rsid w:val="0090506B"/>
    <w:rsid w:val="009050C9"/>
    <w:rsid w:val="00905447"/>
    <w:rsid w:val="009066FC"/>
    <w:rsid w:val="0090671A"/>
    <w:rsid w:val="009140A3"/>
    <w:rsid w:val="009144A2"/>
    <w:rsid w:val="0091510C"/>
    <w:rsid w:val="009259AC"/>
    <w:rsid w:val="00926F38"/>
    <w:rsid w:val="009340F3"/>
    <w:rsid w:val="00934301"/>
    <w:rsid w:val="00936C2D"/>
    <w:rsid w:val="00936CD1"/>
    <w:rsid w:val="00941516"/>
    <w:rsid w:val="00941747"/>
    <w:rsid w:val="00941EFB"/>
    <w:rsid w:val="00945D4E"/>
    <w:rsid w:val="00947266"/>
    <w:rsid w:val="00947AFB"/>
    <w:rsid w:val="00951D7D"/>
    <w:rsid w:val="00952466"/>
    <w:rsid w:val="0095413B"/>
    <w:rsid w:val="00962DD8"/>
    <w:rsid w:val="009630C7"/>
    <w:rsid w:val="00964133"/>
    <w:rsid w:val="00965428"/>
    <w:rsid w:val="00967876"/>
    <w:rsid w:val="00971BBF"/>
    <w:rsid w:val="00972B55"/>
    <w:rsid w:val="00973656"/>
    <w:rsid w:val="009743B7"/>
    <w:rsid w:val="00981F7C"/>
    <w:rsid w:val="0098228B"/>
    <w:rsid w:val="009828DA"/>
    <w:rsid w:val="00985BAB"/>
    <w:rsid w:val="0099161E"/>
    <w:rsid w:val="00997779"/>
    <w:rsid w:val="009A0B5E"/>
    <w:rsid w:val="009A7675"/>
    <w:rsid w:val="009B1B5F"/>
    <w:rsid w:val="009B295C"/>
    <w:rsid w:val="009B3542"/>
    <w:rsid w:val="009B4AF4"/>
    <w:rsid w:val="009B6673"/>
    <w:rsid w:val="009B74D0"/>
    <w:rsid w:val="009C191B"/>
    <w:rsid w:val="009C1AEE"/>
    <w:rsid w:val="009C217B"/>
    <w:rsid w:val="009C2BD6"/>
    <w:rsid w:val="009D0A50"/>
    <w:rsid w:val="009D3074"/>
    <w:rsid w:val="009E1F32"/>
    <w:rsid w:val="009E2642"/>
    <w:rsid w:val="009E2ED8"/>
    <w:rsid w:val="009E48D0"/>
    <w:rsid w:val="009E4C97"/>
    <w:rsid w:val="009E5D9E"/>
    <w:rsid w:val="009E776C"/>
    <w:rsid w:val="009F21E7"/>
    <w:rsid w:val="009F2339"/>
    <w:rsid w:val="00A058C1"/>
    <w:rsid w:val="00A07AE9"/>
    <w:rsid w:val="00A14806"/>
    <w:rsid w:val="00A1726E"/>
    <w:rsid w:val="00A204CF"/>
    <w:rsid w:val="00A2315E"/>
    <w:rsid w:val="00A23D49"/>
    <w:rsid w:val="00A27004"/>
    <w:rsid w:val="00A30C29"/>
    <w:rsid w:val="00A32892"/>
    <w:rsid w:val="00A34DD6"/>
    <w:rsid w:val="00A36819"/>
    <w:rsid w:val="00A36989"/>
    <w:rsid w:val="00A37952"/>
    <w:rsid w:val="00A43012"/>
    <w:rsid w:val="00A43628"/>
    <w:rsid w:val="00A54192"/>
    <w:rsid w:val="00A57E66"/>
    <w:rsid w:val="00A6035E"/>
    <w:rsid w:val="00A6144C"/>
    <w:rsid w:val="00A62798"/>
    <w:rsid w:val="00A66617"/>
    <w:rsid w:val="00A671F8"/>
    <w:rsid w:val="00A673A4"/>
    <w:rsid w:val="00A7069D"/>
    <w:rsid w:val="00A724AE"/>
    <w:rsid w:val="00A73329"/>
    <w:rsid w:val="00A745D1"/>
    <w:rsid w:val="00A76553"/>
    <w:rsid w:val="00A76F35"/>
    <w:rsid w:val="00A82278"/>
    <w:rsid w:val="00A82359"/>
    <w:rsid w:val="00A865D2"/>
    <w:rsid w:val="00A86DBC"/>
    <w:rsid w:val="00A9246A"/>
    <w:rsid w:val="00A94C20"/>
    <w:rsid w:val="00A96515"/>
    <w:rsid w:val="00AA0114"/>
    <w:rsid w:val="00AA227F"/>
    <w:rsid w:val="00AA3BC7"/>
    <w:rsid w:val="00AA754A"/>
    <w:rsid w:val="00AB099E"/>
    <w:rsid w:val="00AB4328"/>
    <w:rsid w:val="00AB6FBC"/>
    <w:rsid w:val="00AB7C04"/>
    <w:rsid w:val="00AC2982"/>
    <w:rsid w:val="00AC3734"/>
    <w:rsid w:val="00AC58AE"/>
    <w:rsid w:val="00AC6930"/>
    <w:rsid w:val="00AD182E"/>
    <w:rsid w:val="00AD25E4"/>
    <w:rsid w:val="00AD305C"/>
    <w:rsid w:val="00AD412E"/>
    <w:rsid w:val="00AD59FD"/>
    <w:rsid w:val="00AE0A2E"/>
    <w:rsid w:val="00AE2AFE"/>
    <w:rsid w:val="00AE354C"/>
    <w:rsid w:val="00AE38C9"/>
    <w:rsid w:val="00AE6107"/>
    <w:rsid w:val="00AF4B07"/>
    <w:rsid w:val="00AF6186"/>
    <w:rsid w:val="00AF7A3A"/>
    <w:rsid w:val="00B012C6"/>
    <w:rsid w:val="00B02652"/>
    <w:rsid w:val="00B03B1F"/>
    <w:rsid w:val="00B06F2D"/>
    <w:rsid w:val="00B07653"/>
    <w:rsid w:val="00B134CD"/>
    <w:rsid w:val="00B160DB"/>
    <w:rsid w:val="00B164F8"/>
    <w:rsid w:val="00B20836"/>
    <w:rsid w:val="00B235BB"/>
    <w:rsid w:val="00B27A44"/>
    <w:rsid w:val="00B30BBF"/>
    <w:rsid w:val="00B33C03"/>
    <w:rsid w:val="00B4294C"/>
    <w:rsid w:val="00B44E56"/>
    <w:rsid w:val="00B46543"/>
    <w:rsid w:val="00B46891"/>
    <w:rsid w:val="00B468C8"/>
    <w:rsid w:val="00B47D33"/>
    <w:rsid w:val="00B51B48"/>
    <w:rsid w:val="00B52BE0"/>
    <w:rsid w:val="00B53B30"/>
    <w:rsid w:val="00B54133"/>
    <w:rsid w:val="00B55685"/>
    <w:rsid w:val="00B6398D"/>
    <w:rsid w:val="00B63FB6"/>
    <w:rsid w:val="00B701ED"/>
    <w:rsid w:val="00B8086C"/>
    <w:rsid w:val="00B82F20"/>
    <w:rsid w:val="00B844EA"/>
    <w:rsid w:val="00B861B4"/>
    <w:rsid w:val="00B86DFE"/>
    <w:rsid w:val="00B90990"/>
    <w:rsid w:val="00B922FF"/>
    <w:rsid w:val="00B9281E"/>
    <w:rsid w:val="00B93925"/>
    <w:rsid w:val="00B95187"/>
    <w:rsid w:val="00B9776F"/>
    <w:rsid w:val="00BA2CF7"/>
    <w:rsid w:val="00BA2D55"/>
    <w:rsid w:val="00BA7055"/>
    <w:rsid w:val="00BA71B1"/>
    <w:rsid w:val="00BB0637"/>
    <w:rsid w:val="00BB2582"/>
    <w:rsid w:val="00BB288F"/>
    <w:rsid w:val="00BB345F"/>
    <w:rsid w:val="00BB3803"/>
    <w:rsid w:val="00BB68EA"/>
    <w:rsid w:val="00BB6B62"/>
    <w:rsid w:val="00BB7CF8"/>
    <w:rsid w:val="00BC1C27"/>
    <w:rsid w:val="00BC4A8F"/>
    <w:rsid w:val="00BC6B2C"/>
    <w:rsid w:val="00BC6BBF"/>
    <w:rsid w:val="00BD1572"/>
    <w:rsid w:val="00BD7055"/>
    <w:rsid w:val="00BE14E3"/>
    <w:rsid w:val="00BE24E4"/>
    <w:rsid w:val="00BE2E7F"/>
    <w:rsid w:val="00BE3774"/>
    <w:rsid w:val="00BE41E5"/>
    <w:rsid w:val="00BF0DE8"/>
    <w:rsid w:val="00BF1A4B"/>
    <w:rsid w:val="00BF2145"/>
    <w:rsid w:val="00BF4109"/>
    <w:rsid w:val="00BF4CC3"/>
    <w:rsid w:val="00C024F4"/>
    <w:rsid w:val="00C054C7"/>
    <w:rsid w:val="00C057B5"/>
    <w:rsid w:val="00C06E15"/>
    <w:rsid w:val="00C07D62"/>
    <w:rsid w:val="00C1262B"/>
    <w:rsid w:val="00C167BC"/>
    <w:rsid w:val="00C2163A"/>
    <w:rsid w:val="00C22687"/>
    <w:rsid w:val="00C27879"/>
    <w:rsid w:val="00C32E4D"/>
    <w:rsid w:val="00C333A0"/>
    <w:rsid w:val="00C34391"/>
    <w:rsid w:val="00C3620B"/>
    <w:rsid w:val="00C36408"/>
    <w:rsid w:val="00C36A81"/>
    <w:rsid w:val="00C36EC1"/>
    <w:rsid w:val="00C36F9D"/>
    <w:rsid w:val="00C41974"/>
    <w:rsid w:val="00C42233"/>
    <w:rsid w:val="00C44C06"/>
    <w:rsid w:val="00C46558"/>
    <w:rsid w:val="00C53F4A"/>
    <w:rsid w:val="00C54125"/>
    <w:rsid w:val="00C55B54"/>
    <w:rsid w:val="00C55F0E"/>
    <w:rsid w:val="00C6098E"/>
    <w:rsid w:val="00C611D8"/>
    <w:rsid w:val="00C6152C"/>
    <w:rsid w:val="00C63990"/>
    <w:rsid w:val="00C64EF6"/>
    <w:rsid w:val="00C74810"/>
    <w:rsid w:val="00C811F2"/>
    <w:rsid w:val="00C87EB2"/>
    <w:rsid w:val="00C9001E"/>
    <w:rsid w:val="00C90D68"/>
    <w:rsid w:val="00C914A2"/>
    <w:rsid w:val="00C91ADA"/>
    <w:rsid w:val="00C939FE"/>
    <w:rsid w:val="00CA374D"/>
    <w:rsid w:val="00CA4BDA"/>
    <w:rsid w:val="00CA646A"/>
    <w:rsid w:val="00CB1F66"/>
    <w:rsid w:val="00CB2951"/>
    <w:rsid w:val="00CB4444"/>
    <w:rsid w:val="00CB445D"/>
    <w:rsid w:val="00CB4FBB"/>
    <w:rsid w:val="00CB60B1"/>
    <w:rsid w:val="00CB64F7"/>
    <w:rsid w:val="00CB7019"/>
    <w:rsid w:val="00CC226F"/>
    <w:rsid w:val="00CC39E5"/>
    <w:rsid w:val="00CC4AD1"/>
    <w:rsid w:val="00CC67E9"/>
    <w:rsid w:val="00CD00F9"/>
    <w:rsid w:val="00CD0A46"/>
    <w:rsid w:val="00CD2515"/>
    <w:rsid w:val="00CD282B"/>
    <w:rsid w:val="00CD2860"/>
    <w:rsid w:val="00CD39D3"/>
    <w:rsid w:val="00CD3DE6"/>
    <w:rsid w:val="00CD4C35"/>
    <w:rsid w:val="00CD7369"/>
    <w:rsid w:val="00CE0B0E"/>
    <w:rsid w:val="00CE3831"/>
    <w:rsid w:val="00CF00D0"/>
    <w:rsid w:val="00CF6A83"/>
    <w:rsid w:val="00D00ABB"/>
    <w:rsid w:val="00D02EEC"/>
    <w:rsid w:val="00D02FE4"/>
    <w:rsid w:val="00D03551"/>
    <w:rsid w:val="00D05D29"/>
    <w:rsid w:val="00D06A63"/>
    <w:rsid w:val="00D07E0E"/>
    <w:rsid w:val="00D11478"/>
    <w:rsid w:val="00D14E16"/>
    <w:rsid w:val="00D15ED0"/>
    <w:rsid w:val="00D21B3E"/>
    <w:rsid w:val="00D21FED"/>
    <w:rsid w:val="00D22F6D"/>
    <w:rsid w:val="00D24251"/>
    <w:rsid w:val="00D25850"/>
    <w:rsid w:val="00D326CE"/>
    <w:rsid w:val="00D3388C"/>
    <w:rsid w:val="00D33BBB"/>
    <w:rsid w:val="00D343E2"/>
    <w:rsid w:val="00D361A2"/>
    <w:rsid w:val="00D37C1F"/>
    <w:rsid w:val="00D41A14"/>
    <w:rsid w:val="00D44C2E"/>
    <w:rsid w:val="00D45414"/>
    <w:rsid w:val="00D47A9F"/>
    <w:rsid w:val="00D50341"/>
    <w:rsid w:val="00D51FD4"/>
    <w:rsid w:val="00D520DC"/>
    <w:rsid w:val="00D55439"/>
    <w:rsid w:val="00D566BD"/>
    <w:rsid w:val="00D57A4D"/>
    <w:rsid w:val="00D60AA7"/>
    <w:rsid w:val="00D6435F"/>
    <w:rsid w:val="00D660C5"/>
    <w:rsid w:val="00D75E28"/>
    <w:rsid w:val="00D76228"/>
    <w:rsid w:val="00D772C2"/>
    <w:rsid w:val="00D8008E"/>
    <w:rsid w:val="00D811A0"/>
    <w:rsid w:val="00D82C45"/>
    <w:rsid w:val="00D908A8"/>
    <w:rsid w:val="00D95F60"/>
    <w:rsid w:val="00D977B6"/>
    <w:rsid w:val="00DA011E"/>
    <w:rsid w:val="00DA4A31"/>
    <w:rsid w:val="00DA7B04"/>
    <w:rsid w:val="00DB36C2"/>
    <w:rsid w:val="00DB3CC7"/>
    <w:rsid w:val="00DC0EFF"/>
    <w:rsid w:val="00DC169B"/>
    <w:rsid w:val="00DC20E6"/>
    <w:rsid w:val="00DC2AB9"/>
    <w:rsid w:val="00DC63F0"/>
    <w:rsid w:val="00DD02EB"/>
    <w:rsid w:val="00DD4371"/>
    <w:rsid w:val="00DD5146"/>
    <w:rsid w:val="00DD6EE5"/>
    <w:rsid w:val="00DE386C"/>
    <w:rsid w:val="00DE4D35"/>
    <w:rsid w:val="00DF098B"/>
    <w:rsid w:val="00DF0D23"/>
    <w:rsid w:val="00DF11C4"/>
    <w:rsid w:val="00DF210C"/>
    <w:rsid w:val="00DF2F94"/>
    <w:rsid w:val="00DF4B6A"/>
    <w:rsid w:val="00E01E65"/>
    <w:rsid w:val="00E02C09"/>
    <w:rsid w:val="00E04D59"/>
    <w:rsid w:val="00E07DA1"/>
    <w:rsid w:val="00E123CB"/>
    <w:rsid w:val="00E13CD0"/>
    <w:rsid w:val="00E15C84"/>
    <w:rsid w:val="00E20E13"/>
    <w:rsid w:val="00E21DBC"/>
    <w:rsid w:val="00E275D7"/>
    <w:rsid w:val="00E277EC"/>
    <w:rsid w:val="00E27DBE"/>
    <w:rsid w:val="00E32AB1"/>
    <w:rsid w:val="00E34B58"/>
    <w:rsid w:val="00E36A85"/>
    <w:rsid w:val="00E36C71"/>
    <w:rsid w:val="00E40404"/>
    <w:rsid w:val="00E41F22"/>
    <w:rsid w:val="00E4529A"/>
    <w:rsid w:val="00E453E1"/>
    <w:rsid w:val="00E459C6"/>
    <w:rsid w:val="00E4679F"/>
    <w:rsid w:val="00E46BA0"/>
    <w:rsid w:val="00E47589"/>
    <w:rsid w:val="00E50099"/>
    <w:rsid w:val="00E50C44"/>
    <w:rsid w:val="00E54A8E"/>
    <w:rsid w:val="00E5584D"/>
    <w:rsid w:val="00E64915"/>
    <w:rsid w:val="00E661D4"/>
    <w:rsid w:val="00E664BD"/>
    <w:rsid w:val="00E67CAD"/>
    <w:rsid w:val="00E70091"/>
    <w:rsid w:val="00E720F5"/>
    <w:rsid w:val="00E72E9C"/>
    <w:rsid w:val="00E76D47"/>
    <w:rsid w:val="00E76F4E"/>
    <w:rsid w:val="00E77CB3"/>
    <w:rsid w:val="00E83919"/>
    <w:rsid w:val="00E849F7"/>
    <w:rsid w:val="00E84F4C"/>
    <w:rsid w:val="00E856E2"/>
    <w:rsid w:val="00E85C1A"/>
    <w:rsid w:val="00E90302"/>
    <w:rsid w:val="00E911A1"/>
    <w:rsid w:val="00E97396"/>
    <w:rsid w:val="00EA185E"/>
    <w:rsid w:val="00EA2D41"/>
    <w:rsid w:val="00EA4DEF"/>
    <w:rsid w:val="00EA592A"/>
    <w:rsid w:val="00EA75A8"/>
    <w:rsid w:val="00EA769E"/>
    <w:rsid w:val="00EB0921"/>
    <w:rsid w:val="00EB14E4"/>
    <w:rsid w:val="00EB2B53"/>
    <w:rsid w:val="00EB32A5"/>
    <w:rsid w:val="00EB34ED"/>
    <w:rsid w:val="00EB3F3B"/>
    <w:rsid w:val="00EB7BE0"/>
    <w:rsid w:val="00EB7E63"/>
    <w:rsid w:val="00EC16C9"/>
    <w:rsid w:val="00EC315E"/>
    <w:rsid w:val="00ED04F0"/>
    <w:rsid w:val="00ED077C"/>
    <w:rsid w:val="00ED1190"/>
    <w:rsid w:val="00ED52C5"/>
    <w:rsid w:val="00ED6544"/>
    <w:rsid w:val="00EE0277"/>
    <w:rsid w:val="00EE1E35"/>
    <w:rsid w:val="00EE3E00"/>
    <w:rsid w:val="00EE3F23"/>
    <w:rsid w:val="00EE4B6F"/>
    <w:rsid w:val="00EE5DD2"/>
    <w:rsid w:val="00EF5211"/>
    <w:rsid w:val="00EF6112"/>
    <w:rsid w:val="00F007FF"/>
    <w:rsid w:val="00F00A79"/>
    <w:rsid w:val="00F00E86"/>
    <w:rsid w:val="00F0361D"/>
    <w:rsid w:val="00F04646"/>
    <w:rsid w:val="00F07625"/>
    <w:rsid w:val="00F07C1E"/>
    <w:rsid w:val="00F105DB"/>
    <w:rsid w:val="00F132BC"/>
    <w:rsid w:val="00F13D80"/>
    <w:rsid w:val="00F16402"/>
    <w:rsid w:val="00F1675B"/>
    <w:rsid w:val="00F16AAA"/>
    <w:rsid w:val="00F1711F"/>
    <w:rsid w:val="00F21161"/>
    <w:rsid w:val="00F218EF"/>
    <w:rsid w:val="00F21BC7"/>
    <w:rsid w:val="00F24E3E"/>
    <w:rsid w:val="00F266A2"/>
    <w:rsid w:val="00F26BC8"/>
    <w:rsid w:val="00F30F62"/>
    <w:rsid w:val="00F32269"/>
    <w:rsid w:val="00F3271C"/>
    <w:rsid w:val="00F345DC"/>
    <w:rsid w:val="00F417CA"/>
    <w:rsid w:val="00F450ED"/>
    <w:rsid w:val="00F5103E"/>
    <w:rsid w:val="00F519A0"/>
    <w:rsid w:val="00F532A5"/>
    <w:rsid w:val="00F56A6F"/>
    <w:rsid w:val="00F56FBB"/>
    <w:rsid w:val="00F5709C"/>
    <w:rsid w:val="00F579D4"/>
    <w:rsid w:val="00F625C4"/>
    <w:rsid w:val="00F64EF1"/>
    <w:rsid w:val="00F653A4"/>
    <w:rsid w:val="00F713E7"/>
    <w:rsid w:val="00F7650E"/>
    <w:rsid w:val="00F83EA2"/>
    <w:rsid w:val="00F866D9"/>
    <w:rsid w:val="00F8765F"/>
    <w:rsid w:val="00F90767"/>
    <w:rsid w:val="00F941B8"/>
    <w:rsid w:val="00F94C9E"/>
    <w:rsid w:val="00F95069"/>
    <w:rsid w:val="00F9676F"/>
    <w:rsid w:val="00FA685B"/>
    <w:rsid w:val="00FB056C"/>
    <w:rsid w:val="00FB0C01"/>
    <w:rsid w:val="00FC18F2"/>
    <w:rsid w:val="00FC35B7"/>
    <w:rsid w:val="00FC39E5"/>
    <w:rsid w:val="00FC3A78"/>
    <w:rsid w:val="00FC605A"/>
    <w:rsid w:val="00FC6E9A"/>
    <w:rsid w:val="00FD1005"/>
    <w:rsid w:val="00FD132D"/>
    <w:rsid w:val="00FD1CEA"/>
    <w:rsid w:val="00FD317D"/>
    <w:rsid w:val="00FD4D9A"/>
    <w:rsid w:val="00FD6C75"/>
    <w:rsid w:val="00FE069D"/>
    <w:rsid w:val="00FE08E8"/>
    <w:rsid w:val="00FE71B3"/>
    <w:rsid w:val="00FE7244"/>
    <w:rsid w:val="00FF1FCC"/>
    <w:rsid w:val="00FF245C"/>
    <w:rsid w:val="00FF42C5"/>
    <w:rsid w:val="00FF4931"/>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header" w:uiPriority="57"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EA4DEF"/>
    <w:pPr>
      <w:jc w:val="both"/>
    </w:pPr>
    <w:rPr>
      <w:rFonts w:eastAsiaTheme="minorEastAsia"/>
      <w:sz w:val="24"/>
    </w:rPr>
  </w:style>
  <w:style w:type="paragraph" w:styleId="Heading1">
    <w:name w:val="heading 1"/>
    <w:basedOn w:val="Normal"/>
    <w:next w:val="Normal"/>
    <w:link w:val="Heading1Char"/>
    <w:uiPriority w:val="99"/>
    <w:semiHidden/>
    <w:rsid w:val="00EA4DE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A4DE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A4DE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A4DE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A4DE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A4DE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A4DE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EA4DE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EA4DE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DEF"/>
    <w:rPr>
      <w:rFonts w:ascii="Tahoma" w:hAnsi="Tahoma" w:cs="Tahoma"/>
      <w:sz w:val="16"/>
      <w:szCs w:val="16"/>
    </w:rPr>
  </w:style>
  <w:style w:type="character" w:customStyle="1" w:styleId="BalloonTextChar">
    <w:name w:val="Balloon Text Char"/>
    <w:basedOn w:val="DefaultParagraphFont"/>
    <w:link w:val="BalloonText"/>
    <w:uiPriority w:val="99"/>
    <w:semiHidden/>
    <w:rsid w:val="00EA4DEF"/>
    <w:rPr>
      <w:rFonts w:ascii="Tahoma" w:eastAsiaTheme="minorEastAsia" w:hAnsi="Tahoma" w:cs="Tahoma"/>
      <w:sz w:val="16"/>
      <w:szCs w:val="16"/>
    </w:rPr>
  </w:style>
  <w:style w:type="character" w:styleId="BookTitle">
    <w:name w:val="Book Title"/>
    <w:uiPriority w:val="99"/>
    <w:semiHidden/>
    <w:qFormat/>
    <w:rsid w:val="00EA4DEF"/>
    <w:rPr>
      <w:i/>
      <w:iCs/>
      <w:smallCaps/>
      <w:spacing w:val="5"/>
    </w:rPr>
  </w:style>
  <w:style w:type="paragraph" w:customStyle="1" w:styleId="ECHRHeader">
    <w:name w:val="ECHR_Header"/>
    <w:aliases w:val="Ju_Header"/>
    <w:basedOn w:val="Header"/>
    <w:uiPriority w:val="4"/>
    <w:qFormat/>
    <w:rsid w:val="00EA4DE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A4DEF"/>
    <w:pPr>
      <w:jc w:val="left"/>
    </w:pPr>
    <w:rPr>
      <w:sz w:val="8"/>
    </w:rPr>
  </w:style>
  <w:style w:type="character" w:styleId="Strong">
    <w:name w:val="Strong"/>
    <w:uiPriority w:val="99"/>
    <w:semiHidden/>
    <w:qFormat/>
    <w:rsid w:val="00EA4DEF"/>
    <w:rPr>
      <w:b/>
      <w:bCs/>
    </w:rPr>
  </w:style>
  <w:style w:type="paragraph" w:styleId="NoSpacing">
    <w:name w:val="No Spacing"/>
    <w:basedOn w:val="Normal"/>
    <w:link w:val="NoSpacingChar"/>
    <w:semiHidden/>
    <w:qFormat/>
    <w:rsid w:val="00EA4DEF"/>
    <w:rPr>
      <w:sz w:val="22"/>
    </w:rPr>
  </w:style>
  <w:style w:type="character" w:customStyle="1" w:styleId="NoSpacingChar">
    <w:name w:val="No Spacing Char"/>
    <w:basedOn w:val="DefaultParagraphFont"/>
    <w:link w:val="NoSpacing"/>
    <w:semiHidden/>
    <w:rsid w:val="00EA4DEF"/>
    <w:rPr>
      <w:rFonts w:eastAsiaTheme="minorEastAsia"/>
    </w:rPr>
  </w:style>
  <w:style w:type="paragraph" w:customStyle="1" w:styleId="ECHRFooterLine">
    <w:name w:val="ECHR_Footer_Line"/>
    <w:aliases w:val="Footer_Line"/>
    <w:basedOn w:val="Normal"/>
    <w:next w:val="ECHRFooter"/>
    <w:uiPriority w:val="57"/>
    <w:semiHidden/>
    <w:rsid w:val="00EA4DE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EA4DEF"/>
    <w:pPr>
      <w:numPr>
        <w:numId w:val="14"/>
      </w:numPr>
      <w:jc w:val="left"/>
    </w:pPr>
    <w:rPr>
      <w:b/>
    </w:rPr>
  </w:style>
  <w:style w:type="paragraph" w:customStyle="1" w:styleId="OpiPara">
    <w:name w:val="Opi_Para"/>
    <w:basedOn w:val="ECHRPara"/>
    <w:uiPriority w:val="46"/>
    <w:qFormat/>
    <w:rsid w:val="00EA4DEF"/>
  </w:style>
  <w:style w:type="paragraph" w:customStyle="1" w:styleId="JuParaSub">
    <w:name w:val="Ju_Para_Sub"/>
    <w:basedOn w:val="ECHRPara"/>
    <w:uiPriority w:val="13"/>
    <w:qFormat/>
    <w:rsid w:val="00EA4DEF"/>
    <w:pPr>
      <w:ind w:left="284"/>
    </w:pPr>
  </w:style>
  <w:style w:type="paragraph" w:customStyle="1" w:styleId="ECHRTitleCentre3">
    <w:name w:val="ECHR_Title_Centre_3"/>
    <w:aliases w:val="Ju_H_Article"/>
    <w:basedOn w:val="Normal"/>
    <w:next w:val="ECHRParaQuote"/>
    <w:uiPriority w:val="27"/>
    <w:qFormat/>
    <w:rsid w:val="00EA4DE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A4DEF"/>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EA4DEF"/>
    <w:pPr>
      <w:ind w:left="567"/>
    </w:pPr>
  </w:style>
  <w:style w:type="paragraph" w:customStyle="1" w:styleId="OpiParaSub">
    <w:name w:val="Opi_Para_Sub"/>
    <w:basedOn w:val="JuParaSub"/>
    <w:uiPriority w:val="47"/>
    <w:qFormat/>
    <w:rsid w:val="00EA4DEF"/>
  </w:style>
  <w:style w:type="paragraph" w:customStyle="1" w:styleId="OpiQuot">
    <w:name w:val="Opi_Quot"/>
    <w:basedOn w:val="ECHRParaQuote"/>
    <w:uiPriority w:val="48"/>
    <w:qFormat/>
    <w:rsid w:val="00EA4DEF"/>
  </w:style>
  <w:style w:type="paragraph" w:customStyle="1" w:styleId="OpiQuotSub">
    <w:name w:val="Opi_Quot_Sub"/>
    <w:basedOn w:val="JuQuotSub"/>
    <w:uiPriority w:val="49"/>
    <w:qFormat/>
    <w:rsid w:val="00EA4DEF"/>
  </w:style>
  <w:style w:type="paragraph" w:customStyle="1" w:styleId="ECHRTitleCentre2">
    <w:name w:val="ECHR_Title_Centre_2"/>
    <w:aliases w:val="Dec_H_Case"/>
    <w:basedOn w:val="Normal"/>
    <w:next w:val="ECHRPara"/>
    <w:uiPriority w:val="8"/>
    <w:rsid w:val="00EA4DEF"/>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EA4DE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EA4DE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A4DE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A4DE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A4DE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A4DE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A4DEF"/>
    <w:pPr>
      <w:keepNext/>
      <w:keepLines/>
      <w:spacing w:before="240" w:after="120"/>
      <w:ind w:left="1236"/>
    </w:pPr>
    <w:rPr>
      <w:sz w:val="20"/>
    </w:rPr>
  </w:style>
  <w:style w:type="paragraph" w:customStyle="1" w:styleId="JuTitle">
    <w:name w:val="Ju_Title"/>
    <w:basedOn w:val="Normal"/>
    <w:next w:val="ECHRPara"/>
    <w:uiPriority w:val="3"/>
    <w:rsid w:val="00EA4DEF"/>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EA4DEF"/>
    <w:pPr>
      <w:tabs>
        <w:tab w:val="center" w:pos="6407"/>
      </w:tabs>
      <w:spacing w:before="720"/>
      <w:jc w:val="right"/>
    </w:pPr>
  </w:style>
  <w:style w:type="paragraph" w:customStyle="1" w:styleId="OpiHA">
    <w:name w:val="Opi_H_A"/>
    <w:basedOn w:val="ECHRHeading1"/>
    <w:next w:val="OpiPara"/>
    <w:uiPriority w:val="41"/>
    <w:qFormat/>
    <w:rsid w:val="00EA4DEF"/>
    <w:pPr>
      <w:tabs>
        <w:tab w:val="clear" w:pos="357"/>
      </w:tabs>
      <w:outlineLvl w:val="1"/>
    </w:pPr>
    <w:rPr>
      <w:b/>
    </w:rPr>
  </w:style>
  <w:style w:type="paragraph" w:styleId="Header">
    <w:name w:val="header"/>
    <w:basedOn w:val="Normal"/>
    <w:link w:val="HeaderChar"/>
    <w:uiPriority w:val="57"/>
    <w:semiHidden/>
    <w:rsid w:val="00EA4DE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A4DEF"/>
    <w:rPr>
      <w:sz w:val="24"/>
    </w:rPr>
  </w:style>
  <w:style w:type="character" w:customStyle="1" w:styleId="Heading1Char">
    <w:name w:val="Heading 1 Char"/>
    <w:basedOn w:val="DefaultParagraphFont"/>
    <w:link w:val="Heading1"/>
    <w:uiPriority w:val="99"/>
    <w:semiHidden/>
    <w:rsid w:val="00EA4DE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EA4DE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EA4DE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A4DEF"/>
    <w:rPr>
      <w:rFonts w:asciiTheme="majorHAnsi" w:eastAsiaTheme="majorEastAsia" w:hAnsiTheme="majorHAnsi" w:cstheme="majorBidi"/>
      <w:b/>
      <w:bCs/>
      <w:color w:val="4D4D4D"/>
      <w:sz w:val="26"/>
      <w:szCs w:val="26"/>
    </w:rPr>
  </w:style>
  <w:style w:type="character" w:customStyle="1" w:styleId="JUNAMES">
    <w:name w:val="JU_NAMES"/>
    <w:uiPriority w:val="17"/>
    <w:qFormat/>
    <w:rsid w:val="00EA4DEF"/>
    <w:rPr>
      <w:caps w:val="0"/>
      <w:smallCaps/>
    </w:rPr>
  </w:style>
  <w:style w:type="paragraph" w:customStyle="1" w:styleId="ECHRDecisionBody">
    <w:name w:val="ECHR_Decision_Body"/>
    <w:aliases w:val="Ju_Judges"/>
    <w:basedOn w:val="Normal"/>
    <w:uiPriority w:val="11"/>
    <w:qFormat/>
    <w:rsid w:val="00EA4DEF"/>
    <w:pPr>
      <w:tabs>
        <w:tab w:val="left" w:pos="567"/>
        <w:tab w:val="left" w:pos="1134"/>
      </w:tabs>
      <w:jc w:val="left"/>
    </w:pPr>
  </w:style>
  <w:style w:type="character" w:customStyle="1" w:styleId="Heading3Char">
    <w:name w:val="Heading 3 Char"/>
    <w:basedOn w:val="DefaultParagraphFont"/>
    <w:link w:val="Heading3"/>
    <w:uiPriority w:val="99"/>
    <w:semiHidden/>
    <w:rsid w:val="00EA4DEF"/>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EA4DEF"/>
    <w:pPr>
      <w:ind w:firstLine="284"/>
    </w:pPr>
  </w:style>
  <w:style w:type="character" w:customStyle="1" w:styleId="Heading4Char">
    <w:name w:val="Heading 4 Char"/>
    <w:basedOn w:val="DefaultParagraphFont"/>
    <w:link w:val="Heading4"/>
    <w:uiPriority w:val="99"/>
    <w:semiHidden/>
    <w:rsid w:val="00EA4DE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EA4DEF"/>
    <w:rPr>
      <w:rFonts w:asciiTheme="majorHAnsi" w:eastAsiaTheme="majorEastAsia" w:hAnsiTheme="majorHAnsi" w:cstheme="majorBidi"/>
      <w:b/>
      <w:bCs/>
      <w:color w:val="808080"/>
    </w:rPr>
  </w:style>
  <w:style w:type="character" w:styleId="SubtleEmphasis">
    <w:name w:val="Subtle Emphasis"/>
    <w:uiPriority w:val="99"/>
    <w:semiHidden/>
    <w:qFormat/>
    <w:rsid w:val="00EA4DEF"/>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EA4DEF"/>
    <w:pPr>
      <w:keepNext/>
      <w:keepLines/>
      <w:spacing w:before="720" w:after="240"/>
      <w:outlineLvl w:val="0"/>
    </w:pPr>
    <w:rPr>
      <w:rFonts w:asciiTheme="majorHAnsi" w:hAnsiTheme="majorHAnsi"/>
      <w:sz w:val="28"/>
    </w:rPr>
  </w:style>
  <w:style w:type="character" w:styleId="Emphasis">
    <w:name w:val="Emphasis"/>
    <w:uiPriority w:val="99"/>
    <w:semiHidden/>
    <w:qFormat/>
    <w:rsid w:val="00EA4DEF"/>
    <w:rPr>
      <w:b/>
      <w:bCs/>
      <w:i/>
      <w:iCs/>
      <w:spacing w:val="10"/>
      <w:bdr w:val="none" w:sz="0" w:space="0" w:color="auto"/>
      <w:shd w:val="clear" w:color="auto" w:fill="auto"/>
    </w:rPr>
  </w:style>
  <w:style w:type="paragraph" w:styleId="Footer">
    <w:name w:val="footer"/>
    <w:basedOn w:val="Normal"/>
    <w:link w:val="FooterChar"/>
    <w:uiPriority w:val="57"/>
    <w:semiHidden/>
    <w:rsid w:val="00EA4DE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A4DEF"/>
    <w:rPr>
      <w:sz w:val="24"/>
    </w:rPr>
  </w:style>
  <w:style w:type="character" w:styleId="FootnoteReference">
    <w:name w:val="footnote reference"/>
    <w:basedOn w:val="DefaultParagraphFont"/>
    <w:uiPriority w:val="99"/>
    <w:semiHidden/>
    <w:rsid w:val="00EA4DEF"/>
    <w:rPr>
      <w:vertAlign w:val="superscript"/>
    </w:rPr>
  </w:style>
  <w:style w:type="paragraph" w:styleId="FootnoteText">
    <w:name w:val="footnote text"/>
    <w:basedOn w:val="Normal"/>
    <w:link w:val="FootnoteTextChar"/>
    <w:uiPriority w:val="99"/>
    <w:semiHidden/>
    <w:rsid w:val="00EA4DEF"/>
    <w:rPr>
      <w:sz w:val="20"/>
      <w:szCs w:val="20"/>
    </w:rPr>
  </w:style>
  <w:style w:type="character" w:customStyle="1" w:styleId="FootnoteTextChar">
    <w:name w:val="Footnote Text Char"/>
    <w:basedOn w:val="DefaultParagraphFont"/>
    <w:link w:val="FootnoteText"/>
    <w:uiPriority w:val="99"/>
    <w:semiHidden/>
    <w:rsid w:val="00EA4DEF"/>
    <w:rPr>
      <w:rFonts w:eastAsiaTheme="minorEastAsia"/>
      <w:sz w:val="20"/>
      <w:szCs w:val="20"/>
    </w:rPr>
  </w:style>
  <w:style w:type="character" w:customStyle="1" w:styleId="Heading6Char">
    <w:name w:val="Heading 6 Char"/>
    <w:basedOn w:val="DefaultParagraphFont"/>
    <w:link w:val="Heading6"/>
    <w:uiPriority w:val="99"/>
    <w:semiHidden/>
    <w:rsid w:val="00EA4DE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EA4DE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A4DE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A4DE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A4DEF"/>
    <w:rPr>
      <w:color w:val="0072BC" w:themeColor="hyperlink"/>
      <w:u w:val="single"/>
    </w:rPr>
  </w:style>
  <w:style w:type="character" w:styleId="IntenseEmphasis">
    <w:name w:val="Intense Emphasis"/>
    <w:uiPriority w:val="99"/>
    <w:semiHidden/>
    <w:qFormat/>
    <w:rsid w:val="00EA4DEF"/>
    <w:rPr>
      <w:b/>
      <w:bCs/>
    </w:rPr>
  </w:style>
  <w:style w:type="paragraph" w:styleId="IntenseQuote">
    <w:name w:val="Intense Quote"/>
    <w:basedOn w:val="Normal"/>
    <w:next w:val="Normal"/>
    <w:link w:val="IntenseQuoteChar"/>
    <w:uiPriority w:val="99"/>
    <w:semiHidden/>
    <w:qFormat/>
    <w:rsid w:val="00EA4DE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EA4DEF"/>
    <w:rPr>
      <w:rFonts w:eastAsiaTheme="minorEastAsia"/>
      <w:b/>
      <w:bCs/>
      <w:i/>
      <w:iCs/>
      <w:lang w:bidi="en-US"/>
    </w:rPr>
  </w:style>
  <w:style w:type="character" w:styleId="IntenseReference">
    <w:name w:val="Intense Reference"/>
    <w:uiPriority w:val="99"/>
    <w:semiHidden/>
    <w:qFormat/>
    <w:rsid w:val="00EA4DEF"/>
    <w:rPr>
      <w:smallCaps/>
      <w:spacing w:val="5"/>
      <w:u w:val="single"/>
    </w:rPr>
  </w:style>
  <w:style w:type="paragraph" w:styleId="ListParagraph">
    <w:name w:val="List Paragraph"/>
    <w:basedOn w:val="Normal"/>
    <w:uiPriority w:val="99"/>
    <w:semiHidden/>
    <w:qFormat/>
    <w:rsid w:val="00EA4DEF"/>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EA4DEF"/>
    <w:pPr>
      <w:spacing w:before="200"/>
      <w:ind w:left="360" w:right="360"/>
    </w:pPr>
    <w:rPr>
      <w:i/>
      <w:iCs/>
      <w:sz w:val="22"/>
      <w:lang w:bidi="en-US"/>
    </w:rPr>
  </w:style>
  <w:style w:type="character" w:customStyle="1" w:styleId="QuoteChar">
    <w:name w:val="Quote Char"/>
    <w:basedOn w:val="DefaultParagraphFont"/>
    <w:link w:val="Quote"/>
    <w:uiPriority w:val="99"/>
    <w:semiHidden/>
    <w:rsid w:val="00EA4DEF"/>
    <w:rPr>
      <w:rFonts w:eastAsiaTheme="minorEastAsia"/>
      <w:i/>
      <w:iCs/>
      <w:lang w:bidi="en-US"/>
    </w:rPr>
  </w:style>
  <w:style w:type="character" w:styleId="SubtleReference">
    <w:name w:val="Subtle Reference"/>
    <w:uiPriority w:val="99"/>
    <w:semiHidden/>
    <w:qFormat/>
    <w:rsid w:val="00EA4DEF"/>
    <w:rPr>
      <w:smallCaps/>
    </w:rPr>
  </w:style>
  <w:style w:type="table" w:styleId="TableGrid">
    <w:name w:val="Table Grid"/>
    <w:basedOn w:val="TableNormal"/>
    <w:uiPriority w:val="59"/>
    <w:semiHidden/>
    <w:rsid w:val="00EA4DE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A4DE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4DEF"/>
    <w:pPr>
      <w:spacing w:after="60"/>
      <w:ind w:left="680" w:right="340" w:hanging="340"/>
    </w:pPr>
  </w:style>
  <w:style w:type="paragraph" w:styleId="TOC3">
    <w:name w:val="toc 3"/>
    <w:basedOn w:val="Normal"/>
    <w:next w:val="Normal"/>
    <w:autoRedefine/>
    <w:uiPriority w:val="99"/>
    <w:semiHidden/>
    <w:rsid w:val="00EA4DEF"/>
    <w:pPr>
      <w:spacing w:after="60"/>
      <w:ind w:left="1020" w:right="340" w:hanging="340"/>
    </w:pPr>
  </w:style>
  <w:style w:type="paragraph" w:styleId="TOC4">
    <w:name w:val="toc 4"/>
    <w:basedOn w:val="Normal"/>
    <w:next w:val="Normal"/>
    <w:autoRedefine/>
    <w:uiPriority w:val="99"/>
    <w:semiHidden/>
    <w:rsid w:val="00EA4DEF"/>
    <w:pPr>
      <w:tabs>
        <w:tab w:val="right" w:leader="dot" w:pos="9017"/>
      </w:tabs>
      <w:spacing w:after="60"/>
      <w:ind w:left="1361" w:right="340" w:hanging="340"/>
    </w:pPr>
  </w:style>
  <w:style w:type="paragraph" w:styleId="TOC5">
    <w:name w:val="toc 5"/>
    <w:basedOn w:val="Normal"/>
    <w:next w:val="Normal"/>
    <w:autoRedefine/>
    <w:uiPriority w:val="99"/>
    <w:semiHidden/>
    <w:rsid w:val="00EA4DEF"/>
    <w:pPr>
      <w:spacing w:after="60"/>
      <w:ind w:left="1701" w:right="340" w:hanging="340"/>
    </w:pPr>
  </w:style>
  <w:style w:type="paragraph" w:styleId="TOCHeading">
    <w:name w:val="TOC Heading"/>
    <w:basedOn w:val="Heading1"/>
    <w:next w:val="Normal"/>
    <w:uiPriority w:val="99"/>
    <w:semiHidden/>
    <w:qFormat/>
    <w:rsid w:val="00EA4DE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A4DE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EA4DEF"/>
    <w:pPr>
      <w:spacing w:before="120" w:after="120"/>
      <w:ind w:left="425" w:firstLine="142"/>
    </w:pPr>
    <w:rPr>
      <w:sz w:val="20"/>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A4DE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A4DEF"/>
    <w:pPr>
      <w:tabs>
        <w:tab w:val="center" w:pos="851"/>
        <w:tab w:val="center" w:pos="6407"/>
      </w:tabs>
      <w:spacing w:before="720"/>
      <w:jc w:val="left"/>
    </w:pPr>
  </w:style>
  <w:style w:type="paragraph" w:customStyle="1" w:styleId="JuParaLast">
    <w:name w:val="Ju_Para_Last"/>
    <w:basedOn w:val="Normal"/>
    <w:next w:val="ECHRPara"/>
    <w:uiPriority w:val="30"/>
    <w:qFormat/>
    <w:rsid w:val="00EA4DEF"/>
    <w:pPr>
      <w:keepNext/>
      <w:keepLines/>
      <w:spacing w:before="240"/>
      <w:ind w:firstLine="284"/>
    </w:pPr>
  </w:style>
  <w:style w:type="paragraph" w:customStyle="1" w:styleId="JuCase">
    <w:name w:val="Ju_Case"/>
    <w:basedOn w:val="Normal"/>
    <w:next w:val="ECHRPara"/>
    <w:uiPriority w:val="10"/>
    <w:rsid w:val="00EA4DEF"/>
    <w:pPr>
      <w:ind w:firstLine="284"/>
    </w:pPr>
    <w:rPr>
      <w:b/>
    </w:rPr>
  </w:style>
  <w:style w:type="paragraph" w:customStyle="1" w:styleId="JuList">
    <w:name w:val="Ju_List"/>
    <w:basedOn w:val="Normal"/>
    <w:uiPriority w:val="28"/>
    <w:qFormat/>
    <w:rsid w:val="00EA4DEF"/>
    <w:pPr>
      <w:ind w:left="340" w:hanging="340"/>
    </w:pPr>
  </w:style>
  <w:style w:type="character" w:customStyle="1" w:styleId="JuITMark">
    <w:name w:val="Ju_ITMark"/>
    <w:basedOn w:val="DefaultParagraphFont"/>
    <w:uiPriority w:val="38"/>
    <w:qFormat/>
    <w:rsid w:val="00EA4DEF"/>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A4DEF"/>
    <w:pPr>
      <w:ind w:left="346" w:firstLine="0"/>
    </w:pPr>
  </w:style>
  <w:style w:type="paragraph" w:customStyle="1" w:styleId="JuListi">
    <w:name w:val="Ju_List_i"/>
    <w:basedOn w:val="Normal"/>
    <w:next w:val="JuLista"/>
    <w:uiPriority w:val="28"/>
    <w:qFormat/>
    <w:rsid w:val="00EA4DEF"/>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qFormat/>
    <w:rsid w:val="00EA4DEF"/>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rsid w:val="00EA4DEF"/>
  </w:style>
  <w:style w:type="paragraph" w:styleId="Subtitle">
    <w:name w:val="Subtitle"/>
    <w:basedOn w:val="Normal"/>
    <w:next w:val="Normal"/>
    <w:link w:val="SubtitleChar"/>
    <w:uiPriority w:val="99"/>
    <w:semiHidden/>
    <w:qFormat/>
    <w:rsid w:val="00EA4DE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EA4DE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77CB3"/>
    <w:pPr>
      <w:jc w:val="both"/>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character" w:customStyle="1" w:styleId="ECHRParaChar">
    <w:name w:val="ECHR_Para Char"/>
    <w:aliases w:val="Ju_Para Char"/>
    <w:basedOn w:val="DefaultParagraphFont"/>
    <w:link w:val="ECHRPara"/>
    <w:uiPriority w:val="12"/>
    <w:rsid w:val="00D25850"/>
    <w:rPr>
      <w:rFonts w:eastAsiaTheme="minorEastAsia"/>
      <w:sz w:val="24"/>
    </w:rPr>
  </w:style>
  <w:style w:type="paragraph" w:customStyle="1" w:styleId="JuCourt">
    <w:name w:val="Ju_Court"/>
    <w:basedOn w:val="Normal"/>
    <w:next w:val="Normal"/>
    <w:uiPriority w:val="16"/>
    <w:qFormat/>
    <w:rsid w:val="00EA4DEF"/>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EA4DEF"/>
    <w:pPr>
      <w:spacing w:before="240"/>
      <w:ind w:left="284"/>
    </w:pPr>
  </w:style>
  <w:style w:type="paragraph" w:customStyle="1" w:styleId="OpiH1">
    <w:name w:val="Opi_H_1"/>
    <w:basedOn w:val="ECHRHeading2"/>
    <w:uiPriority w:val="42"/>
    <w:qFormat/>
    <w:rsid w:val="00EA4DEF"/>
    <w:pPr>
      <w:ind w:left="635" w:hanging="357"/>
      <w:outlineLvl w:val="2"/>
    </w:pPr>
  </w:style>
  <w:style w:type="paragraph" w:customStyle="1" w:styleId="OpiHa0">
    <w:name w:val="Opi_H_a"/>
    <w:basedOn w:val="ECHRHeading3"/>
    <w:uiPriority w:val="43"/>
    <w:qFormat/>
    <w:rsid w:val="00EA4DEF"/>
    <w:pPr>
      <w:ind w:left="833" w:hanging="357"/>
      <w:outlineLvl w:val="3"/>
    </w:pPr>
    <w:rPr>
      <w:b/>
      <w:i w:val="0"/>
      <w:sz w:val="20"/>
    </w:rPr>
  </w:style>
  <w:style w:type="paragraph" w:customStyle="1" w:styleId="OpiHi">
    <w:name w:val="Opi_H_i"/>
    <w:basedOn w:val="ECHRHeading4"/>
    <w:uiPriority w:val="44"/>
    <w:qFormat/>
    <w:rsid w:val="00EA4DEF"/>
    <w:pPr>
      <w:ind w:left="1037" w:hanging="357"/>
      <w:outlineLvl w:val="4"/>
    </w:pPr>
    <w:rPr>
      <w:b w:val="0"/>
      <w:i/>
    </w:rPr>
  </w:style>
  <w:style w:type="paragraph" w:customStyle="1" w:styleId="DummyStyle">
    <w:name w:val="Dummy_Style"/>
    <w:basedOn w:val="Normal"/>
    <w:semiHidden/>
    <w:qFormat/>
    <w:rsid w:val="00EA4DEF"/>
    <w:rPr>
      <w:color w:val="00B050"/>
    </w:rPr>
  </w:style>
  <w:style w:type="paragraph" w:customStyle="1" w:styleId="jupara">
    <w:name w:val="jupara"/>
    <w:basedOn w:val="Normal"/>
    <w:rsid w:val="005A6B8A"/>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5A6B8A"/>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header" w:uiPriority="57"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EA4DEF"/>
    <w:pPr>
      <w:jc w:val="both"/>
    </w:pPr>
    <w:rPr>
      <w:rFonts w:eastAsiaTheme="minorEastAsia"/>
      <w:sz w:val="24"/>
    </w:rPr>
  </w:style>
  <w:style w:type="paragraph" w:styleId="Heading1">
    <w:name w:val="heading 1"/>
    <w:basedOn w:val="Normal"/>
    <w:next w:val="Normal"/>
    <w:link w:val="Heading1Char"/>
    <w:uiPriority w:val="99"/>
    <w:semiHidden/>
    <w:rsid w:val="00EA4DE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A4DE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A4DE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A4DE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A4DE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A4DE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A4DE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EA4DE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EA4DE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DEF"/>
    <w:rPr>
      <w:rFonts w:ascii="Tahoma" w:hAnsi="Tahoma" w:cs="Tahoma"/>
      <w:sz w:val="16"/>
      <w:szCs w:val="16"/>
    </w:rPr>
  </w:style>
  <w:style w:type="character" w:customStyle="1" w:styleId="BalloonTextChar">
    <w:name w:val="Balloon Text Char"/>
    <w:basedOn w:val="DefaultParagraphFont"/>
    <w:link w:val="BalloonText"/>
    <w:uiPriority w:val="99"/>
    <w:semiHidden/>
    <w:rsid w:val="00EA4DEF"/>
    <w:rPr>
      <w:rFonts w:ascii="Tahoma" w:eastAsiaTheme="minorEastAsia" w:hAnsi="Tahoma" w:cs="Tahoma"/>
      <w:sz w:val="16"/>
      <w:szCs w:val="16"/>
    </w:rPr>
  </w:style>
  <w:style w:type="character" w:styleId="BookTitle">
    <w:name w:val="Book Title"/>
    <w:uiPriority w:val="99"/>
    <w:semiHidden/>
    <w:qFormat/>
    <w:rsid w:val="00EA4DEF"/>
    <w:rPr>
      <w:i/>
      <w:iCs/>
      <w:smallCaps/>
      <w:spacing w:val="5"/>
    </w:rPr>
  </w:style>
  <w:style w:type="paragraph" w:customStyle="1" w:styleId="ECHRHeader">
    <w:name w:val="ECHR_Header"/>
    <w:aliases w:val="Ju_Header"/>
    <w:basedOn w:val="Header"/>
    <w:uiPriority w:val="4"/>
    <w:qFormat/>
    <w:rsid w:val="00EA4DE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A4DEF"/>
    <w:pPr>
      <w:jc w:val="left"/>
    </w:pPr>
    <w:rPr>
      <w:sz w:val="8"/>
    </w:rPr>
  </w:style>
  <w:style w:type="character" w:styleId="Strong">
    <w:name w:val="Strong"/>
    <w:uiPriority w:val="99"/>
    <w:semiHidden/>
    <w:qFormat/>
    <w:rsid w:val="00EA4DEF"/>
    <w:rPr>
      <w:b/>
      <w:bCs/>
    </w:rPr>
  </w:style>
  <w:style w:type="paragraph" w:styleId="NoSpacing">
    <w:name w:val="No Spacing"/>
    <w:basedOn w:val="Normal"/>
    <w:link w:val="NoSpacingChar"/>
    <w:semiHidden/>
    <w:qFormat/>
    <w:rsid w:val="00EA4DEF"/>
    <w:rPr>
      <w:sz w:val="22"/>
    </w:rPr>
  </w:style>
  <w:style w:type="character" w:customStyle="1" w:styleId="NoSpacingChar">
    <w:name w:val="No Spacing Char"/>
    <w:basedOn w:val="DefaultParagraphFont"/>
    <w:link w:val="NoSpacing"/>
    <w:semiHidden/>
    <w:rsid w:val="00EA4DEF"/>
    <w:rPr>
      <w:rFonts w:eastAsiaTheme="minorEastAsia"/>
    </w:rPr>
  </w:style>
  <w:style w:type="paragraph" w:customStyle="1" w:styleId="ECHRFooterLine">
    <w:name w:val="ECHR_Footer_Line"/>
    <w:aliases w:val="Footer_Line"/>
    <w:basedOn w:val="Normal"/>
    <w:next w:val="ECHRFooter"/>
    <w:uiPriority w:val="57"/>
    <w:semiHidden/>
    <w:rsid w:val="00EA4DE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EA4DEF"/>
    <w:pPr>
      <w:numPr>
        <w:numId w:val="14"/>
      </w:numPr>
      <w:jc w:val="left"/>
    </w:pPr>
    <w:rPr>
      <w:b/>
    </w:rPr>
  </w:style>
  <w:style w:type="paragraph" w:customStyle="1" w:styleId="OpiPara">
    <w:name w:val="Opi_Para"/>
    <w:basedOn w:val="ECHRPara"/>
    <w:uiPriority w:val="46"/>
    <w:qFormat/>
    <w:rsid w:val="00EA4DEF"/>
  </w:style>
  <w:style w:type="paragraph" w:customStyle="1" w:styleId="JuParaSub">
    <w:name w:val="Ju_Para_Sub"/>
    <w:basedOn w:val="ECHRPara"/>
    <w:uiPriority w:val="13"/>
    <w:qFormat/>
    <w:rsid w:val="00EA4DEF"/>
    <w:pPr>
      <w:ind w:left="284"/>
    </w:pPr>
  </w:style>
  <w:style w:type="paragraph" w:customStyle="1" w:styleId="ECHRTitleCentre3">
    <w:name w:val="ECHR_Title_Centre_3"/>
    <w:aliases w:val="Ju_H_Article"/>
    <w:basedOn w:val="Normal"/>
    <w:next w:val="ECHRParaQuote"/>
    <w:uiPriority w:val="27"/>
    <w:qFormat/>
    <w:rsid w:val="00EA4DE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A4DEF"/>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EA4DEF"/>
    <w:pPr>
      <w:ind w:left="567"/>
    </w:pPr>
  </w:style>
  <w:style w:type="paragraph" w:customStyle="1" w:styleId="OpiParaSub">
    <w:name w:val="Opi_Para_Sub"/>
    <w:basedOn w:val="JuParaSub"/>
    <w:uiPriority w:val="47"/>
    <w:qFormat/>
    <w:rsid w:val="00EA4DEF"/>
  </w:style>
  <w:style w:type="paragraph" w:customStyle="1" w:styleId="OpiQuot">
    <w:name w:val="Opi_Quot"/>
    <w:basedOn w:val="ECHRParaQuote"/>
    <w:uiPriority w:val="48"/>
    <w:qFormat/>
    <w:rsid w:val="00EA4DEF"/>
  </w:style>
  <w:style w:type="paragraph" w:customStyle="1" w:styleId="OpiQuotSub">
    <w:name w:val="Opi_Quot_Sub"/>
    <w:basedOn w:val="JuQuotSub"/>
    <w:uiPriority w:val="49"/>
    <w:qFormat/>
    <w:rsid w:val="00EA4DEF"/>
  </w:style>
  <w:style w:type="paragraph" w:customStyle="1" w:styleId="ECHRTitleCentre2">
    <w:name w:val="ECHR_Title_Centre_2"/>
    <w:aliases w:val="Dec_H_Case"/>
    <w:basedOn w:val="Normal"/>
    <w:next w:val="ECHRPara"/>
    <w:uiPriority w:val="8"/>
    <w:rsid w:val="00EA4DEF"/>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EA4DE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EA4DE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A4DE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A4DE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A4DE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A4DE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A4DEF"/>
    <w:pPr>
      <w:keepNext/>
      <w:keepLines/>
      <w:spacing w:before="240" w:after="120"/>
      <w:ind w:left="1236"/>
    </w:pPr>
    <w:rPr>
      <w:sz w:val="20"/>
    </w:rPr>
  </w:style>
  <w:style w:type="paragraph" w:customStyle="1" w:styleId="JuTitle">
    <w:name w:val="Ju_Title"/>
    <w:basedOn w:val="Normal"/>
    <w:next w:val="ECHRPara"/>
    <w:uiPriority w:val="3"/>
    <w:rsid w:val="00EA4DEF"/>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EA4DEF"/>
    <w:pPr>
      <w:tabs>
        <w:tab w:val="center" w:pos="6407"/>
      </w:tabs>
      <w:spacing w:before="720"/>
      <w:jc w:val="right"/>
    </w:pPr>
  </w:style>
  <w:style w:type="paragraph" w:customStyle="1" w:styleId="OpiHA">
    <w:name w:val="Opi_H_A"/>
    <w:basedOn w:val="ECHRHeading1"/>
    <w:next w:val="OpiPara"/>
    <w:uiPriority w:val="41"/>
    <w:qFormat/>
    <w:rsid w:val="00EA4DEF"/>
    <w:pPr>
      <w:tabs>
        <w:tab w:val="clear" w:pos="357"/>
      </w:tabs>
      <w:outlineLvl w:val="1"/>
    </w:pPr>
    <w:rPr>
      <w:b/>
    </w:rPr>
  </w:style>
  <w:style w:type="paragraph" w:styleId="Header">
    <w:name w:val="header"/>
    <w:basedOn w:val="Normal"/>
    <w:link w:val="HeaderChar"/>
    <w:uiPriority w:val="57"/>
    <w:semiHidden/>
    <w:rsid w:val="00EA4DE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A4DEF"/>
    <w:rPr>
      <w:sz w:val="24"/>
    </w:rPr>
  </w:style>
  <w:style w:type="character" w:customStyle="1" w:styleId="Heading1Char">
    <w:name w:val="Heading 1 Char"/>
    <w:basedOn w:val="DefaultParagraphFont"/>
    <w:link w:val="Heading1"/>
    <w:uiPriority w:val="99"/>
    <w:semiHidden/>
    <w:rsid w:val="00EA4DE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EA4DE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EA4DE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A4DEF"/>
    <w:rPr>
      <w:rFonts w:asciiTheme="majorHAnsi" w:eastAsiaTheme="majorEastAsia" w:hAnsiTheme="majorHAnsi" w:cstheme="majorBidi"/>
      <w:b/>
      <w:bCs/>
      <w:color w:val="4D4D4D"/>
      <w:sz w:val="26"/>
      <w:szCs w:val="26"/>
    </w:rPr>
  </w:style>
  <w:style w:type="character" w:customStyle="1" w:styleId="JUNAMES">
    <w:name w:val="JU_NAMES"/>
    <w:uiPriority w:val="17"/>
    <w:qFormat/>
    <w:rsid w:val="00EA4DEF"/>
    <w:rPr>
      <w:caps w:val="0"/>
      <w:smallCaps/>
    </w:rPr>
  </w:style>
  <w:style w:type="paragraph" w:customStyle="1" w:styleId="ECHRDecisionBody">
    <w:name w:val="ECHR_Decision_Body"/>
    <w:aliases w:val="Ju_Judges"/>
    <w:basedOn w:val="Normal"/>
    <w:uiPriority w:val="11"/>
    <w:qFormat/>
    <w:rsid w:val="00EA4DEF"/>
    <w:pPr>
      <w:tabs>
        <w:tab w:val="left" w:pos="567"/>
        <w:tab w:val="left" w:pos="1134"/>
      </w:tabs>
      <w:jc w:val="left"/>
    </w:pPr>
  </w:style>
  <w:style w:type="character" w:customStyle="1" w:styleId="Heading3Char">
    <w:name w:val="Heading 3 Char"/>
    <w:basedOn w:val="DefaultParagraphFont"/>
    <w:link w:val="Heading3"/>
    <w:uiPriority w:val="99"/>
    <w:semiHidden/>
    <w:rsid w:val="00EA4DEF"/>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EA4DEF"/>
    <w:pPr>
      <w:ind w:firstLine="284"/>
    </w:pPr>
  </w:style>
  <w:style w:type="character" w:customStyle="1" w:styleId="Heading4Char">
    <w:name w:val="Heading 4 Char"/>
    <w:basedOn w:val="DefaultParagraphFont"/>
    <w:link w:val="Heading4"/>
    <w:uiPriority w:val="99"/>
    <w:semiHidden/>
    <w:rsid w:val="00EA4DE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EA4DEF"/>
    <w:rPr>
      <w:rFonts w:asciiTheme="majorHAnsi" w:eastAsiaTheme="majorEastAsia" w:hAnsiTheme="majorHAnsi" w:cstheme="majorBidi"/>
      <w:b/>
      <w:bCs/>
      <w:color w:val="808080"/>
    </w:rPr>
  </w:style>
  <w:style w:type="character" w:styleId="SubtleEmphasis">
    <w:name w:val="Subtle Emphasis"/>
    <w:uiPriority w:val="99"/>
    <w:semiHidden/>
    <w:qFormat/>
    <w:rsid w:val="00EA4DEF"/>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EA4DEF"/>
    <w:pPr>
      <w:keepNext/>
      <w:keepLines/>
      <w:spacing w:before="720" w:after="240"/>
      <w:outlineLvl w:val="0"/>
    </w:pPr>
    <w:rPr>
      <w:rFonts w:asciiTheme="majorHAnsi" w:hAnsiTheme="majorHAnsi"/>
      <w:sz w:val="28"/>
    </w:rPr>
  </w:style>
  <w:style w:type="character" w:styleId="Emphasis">
    <w:name w:val="Emphasis"/>
    <w:uiPriority w:val="99"/>
    <w:semiHidden/>
    <w:qFormat/>
    <w:rsid w:val="00EA4DEF"/>
    <w:rPr>
      <w:b/>
      <w:bCs/>
      <w:i/>
      <w:iCs/>
      <w:spacing w:val="10"/>
      <w:bdr w:val="none" w:sz="0" w:space="0" w:color="auto"/>
      <w:shd w:val="clear" w:color="auto" w:fill="auto"/>
    </w:rPr>
  </w:style>
  <w:style w:type="paragraph" w:styleId="Footer">
    <w:name w:val="footer"/>
    <w:basedOn w:val="Normal"/>
    <w:link w:val="FooterChar"/>
    <w:uiPriority w:val="57"/>
    <w:semiHidden/>
    <w:rsid w:val="00EA4DE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A4DEF"/>
    <w:rPr>
      <w:sz w:val="24"/>
    </w:rPr>
  </w:style>
  <w:style w:type="character" w:styleId="FootnoteReference">
    <w:name w:val="footnote reference"/>
    <w:basedOn w:val="DefaultParagraphFont"/>
    <w:uiPriority w:val="99"/>
    <w:semiHidden/>
    <w:rsid w:val="00EA4DEF"/>
    <w:rPr>
      <w:vertAlign w:val="superscript"/>
    </w:rPr>
  </w:style>
  <w:style w:type="paragraph" w:styleId="FootnoteText">
    <w:name w:val="footnote text"/>
    <w:basedOn w:val="Normal"/>
    <w:link w:val="FootnoteTextChar"/>
    <w:uiPriority w:val="99"/>
    <w:semiHidden/>
    <w:rsid w:val="00EA4DEF"/>
    <w:rPr>
      <w:sz w:val="20"/>
      <w:szCs w:val="20"/>
    </w:rPr>
  </w:style>
  <w:style w:type="character" w:customStyle="1" w:styleId="FootnoteTextChar">
    <w:name w:val="Footnote Text Char"/>
    <w:basedOn w:val="DefaultParagraphFont"/>
    <w:link w:val="FootnoteText"/>
    <w:uiPriority w:val="99"/>
    <w:semiHidden/>
    <w:rsid w:val="00EA4DEF"/>
    <w:rPr>
      <w:rFonts w:eastAsiaTheme="minorEastAsia"/>
      <w:sz w:val="20"/>
      <w:szCs w:val="20"/>
    </w:rPr>
  </w:style>
  <w:style w:type="character" w:customStyle="1" w:styleId="Heading6Char">
    <w:name w:val="Heading 6 Char"/>
    <w:basedOn w:val="DefaultParagraphFont"/>
    <w:link w:val="Heading6"/>
    <w:uiPriority w:val="99"/>
    <w:semiHidden/>
    <w:rsid w:val="00EA4DE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EA4DE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A4DE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A4DE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A4DEF"/>
    <w:rPr>
      <w:color w:val="0072BC" w:themeColor="hyperlink"/>
      <w:u w:val="single"/>
    </w:rPr>
  </w:style>
  <w:style w:type="character" w:styleId="IntenseEmphasis">
    <w:name w:val="Intense Emphasis"/>
    <w:uiPriority w:val="99"/>
    <w:semiHidden/>
    <w:qFormat/>
    <w:rsid w:val="00EA4DEF"/>
    <w:rPr>
      <w:b/>
      <w:bCs/>
    </w:rPr>
  </w:style>
  <w:style w:type="paragraph" w:styleId="IntenseQuote">
    <w:name w:val="Intense Quote"/>
    <w:basedOn w:val="Normal"/>
    <w:next w:val="Normal"/>
    <w:link w:val="IntenseQuoteChar"/>
    <w:uiPriority w:val="99"/>
    <w:semiHidden/>
    <w:qFormat/>
    <w:rsid w:val="00EA4DE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EA4DEF"/>
    <w:rPr>
      <w:rFonts w:eastAsiaTheme="minorEastAsia"/>
      <w:b/>
      <w:bCs/>
      <w:i/>
      <w:iCs/>
      <w:lang w:bidi="en-US"/>
    </w:rPr>
  </w:style>
  <w:style w:type="character" w:styleId="IntenseReference">
    <w:name w:val="Intense Reference"/>
    <w:uiPriority w:val="99"/>
    <w:semiHidden/>
    <w:qFormat/>
    <w:rsid w:val="00EA4DEF"/>
    <w:rPr>
      <w:smallCaps/>
      <w:spacing w:val="5"/>
      <w:u w:val="single"/>
    </w:rPr>
  </w:style>
  <w:style w:type="paragraph" w:styleId="ListParagraph">
    <w:name w:val="List Paragraph"/>
    <w:basedOn w:val="Normal"/>
    <w:uiPriority w:val="99"/>
    <w:semiHidden/>
    <w:qFormat/>
    <w:rsid w:val="00EA4DEF"/>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EA4DEF"/>
    <w:pPr>
      <w:spacing w:before="200"/>
      <w:ind w:left="360" w:right="360"/>
    </w:pPr>
    <w:rPr>
      <w:i/>
      <w:iCs/>
      <w:sz w:val="22"/>
      <w:lang w:bidi="en-US"/>
    </w:rPr>
  </w:style>
  <w:style w:type="character" w:customStyle="1" w:styleId="QuoteChar">
    <w:name w:val="Quote Char"/>
    <w:basedOn w:val="DefaultParagraphFont"/>
    <w:link w:val="Quote"/>
    <w:uiPriority w:val="99"/>
    <w:semiHidden/>
    <w:rsid w:val="00EA4DEF"/>
    <w:rPr>
      <w:rFonts w:eastAsiaTheme="minorEastAsia"/>
      <w:i/>
      <w:iCs/>
      <w:lang w:bidi="en-US"/>
    </w:rPr>
  </w:style>
  <w:style w:type="character" w:styleId="SubtleReference">
    <w:name w:val="Subtle Reference"/>
    <w:uiPriority w:val="99"/>
    <w:semiHidden/>
    <w:qFormat/>
    <w:rsid w:val="00EA4DEF"/>
    <w:rPr>
      <w:smallCaps/>
    </w:rPr>
  </w:style>
  <w:style w:type="table" w:styleId="TableGrid">
    <w:name w:val="Table Grid"/>
    <w:basedOn w:val="TableNormal"/>
    <w:uiPriority w:val="59"/>
    <w:semiHidden/>
    <w:rsid w:val="00EA4DE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A4DE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4DEF"/>
    <w:pPr>
      <w:spacing w:after="60"/>
      <w:ind w:left="680" w:right="340" w:hanging="340"/>
    </w:pPr>
  </w:style>
  <w:style w:type="paragraph" w:styleId="TOC3">
    <w:name w:val="toc 3"/>
    <w:basedOn w:val="Normal"/>
    <w:next w:val="Normal"/>
    <w:autoRedefine/>
    <w:uiPriority w:val="99"/>
    <w:semiHidden/>
    <w:rsid w:val="00EA4DEF"/>
    <w:pPr>
      <w:spacing w:after="60"/>
      <w:ind w:left="1020" w:right="340" w:hanging="340"/>
    </w:pPr>
  </w:style>
  <w:style w:type="paragraph" w:styleId="TOC4">
    <w:name w:val="toc 4"/>
    <w:basedOn w:val="Normal"/>
    <w:next w:val="Normal"/>
    <w:autoRedefine/>
    <w:uiPriority w:val="99"/>
    <w:semiHidden/>
    <w:rsid w:val="00EA4DEF"/>
    <w:pPr>
      <w:tabs>
        <w:tab w:val="right" w:leader="dot" w:pos="9017"/>
      </w:tabs>
      <w:spacing w:after="60"/>
      <w:ind w:left="1361" w:right="340" w:hanging="340"/>
    </w:pPr>
  </w:style>
  <w:style w:type="paragraph" w:styleId="TOC5">
    <w:name w:val="toc 5"/>
    <w:basedOn w:val="Normal"/>
    <w:next w:val="Normal"/>
    <w:autoRedefine/>
    <w:uiPriority w:val="99"/>
    <w:semiHidden/>
    <w:rsid w:val="00EA4DEF"/>
    <w:pPr>
      <w:spacing w:after="60"/>
      <w:ind w:left="1701" w:right="340" w:hanging="340"/>
    </w:pPr>
  </w:style>
  <w:style w:type="paragraph" w:styleId="TOCHeading">
    <w:name w:val="TOC Heading"/>
    <w:basedOn w:val="Heading1"/>
    <w:next w:val="Normal"/>
    <w:uiPriority w:val="99"/>
    <w:semiHidden/>
    <w:qFormat/>
    <w:rsid w:val="00EA4DE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A4DE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EA4DEF"/>
    <w:pPr>
      <w:spacing w:before="120" w:after="120"/>
      <w:ind w:left="425" w:firstLine="142"/>
    </w:pPr>
    <w:rPr>
      <w:sz w:val="20"/>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A4DE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A4DEF"/>
    <w:pPr>
      <w:tabs>
        <w:tab w:val="center" w:pos="851"/>
        <w:tab w:val="center" w:pos="6407"/>
      </w:tabs>
      <w:spacing w:before="720"/>
      <w:jc w:val="left"/>
    </w:pPr>
  </w:style>
  <w:style w:type="paragraph" w:customStyle="1" w:styleId="JuParaLast">
    <w:name w:val="Ju_Para_Last"/>
    <w:basedOn w:val="Normal"/>
    <w:next w:val="ECHRPara"/>
    <w:uiPriority w:val="30"/>
    <w:qFormat/>
    <w:rsid w:val="00EA4DEF"/>
    <w:pPr>
      <w:keepNext/>
      <w:keepLines/>
      <w:spacing w:before="240"/>
      <w:ind w:firstLine="284"/>
    </w:pPr>
  </w:style>
  <w:style w:type="paragraph" w:customStyle="1" w:styleId="JuCase">
    <w:name w:val="Ju_Case"/>
    <w:basedOn w:val="Normal"/>
    <w:next w:val="ECHRPara"/>
    <w:uiPriority w:val="10"/>
    <w:rsid w:val="00EA4DEF"/>
    <w:pPr>
      <w:ind w:firstLine="284"/>
    </w:pPr>
    <w:rPr>
      <w:b/>
    </w:rPr>
  </w:style>
  <w:style w:type="paragraph" w:customStyle="1" w:styleId="JuList">
    <w:name w:val="Ju_List"/>
    <w:basedOn w:val="Normal"/>
    <w:uiPriority w:val="28"/>
    <w:qFormat/>
    <w:rsid w:val="00EA4DEF"/>
    <w:pPr>
      <w:ind w:left="340" w:hanging="340"/>
    </w:pPr>
  </w:style>
  <w:style w:type="character" w:customStyle="1" w:styleId="JuITMark">
    <w:name w:val="Ju_ITMark"/>
    <w:basedOn w:val="DefaultParagraphFont"/>
    <w:uiPriority w:val="38"/>
    <w:qFormat/>
    <w:rsid w:val="00EA4DEF"/>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A4DEF"/>
    <w:pPr>
      <w:ind w:left="346" w:firstLine="0"/>
    </w:pPr>
  </w:style>
  <w:style w:type="paragraph" w:customStyle="1" w:styleId="JuListi">
    <w:name w:val="Ju_List_i"/>
    <w:basedOn w:val="Normal"/>
    <w:next w:val="JuLista"/>
    <w:uiPriority w:val="28"/>
    <w:qFormat/>
    <w:rsid w:val="00EA4DEF"/>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qFormat/>
    <w:rsid w:val="00EA4DEF"/>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rsid w:val="00EA4DEF"/>
  </w:style>
  <w:style w:type="paragraph" w:styleId="Subtitle">
    <w:name w:val="Subtitle"/>
    <w:basedOn w:val="Normal"/>
    <w:next w:val="Normal"/>
    <w:link w:val="SubtitleChar"/>
    <w:uiPriority w:val="99"/>
    <w:semiHidden/>
    <w:qFormat/>
    <w:rsid w:val="00EA4DE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EA4DE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77CB3"/>
    <w:pPr>
      <w:jc w:val="both"/>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character" w:customStyle="1" w:styleId="ECHRParaChar">
    <w:name w:val="ECHR_Para Char"/>
    <w:aliases w:val="Ju_Para Char"/>
    <w:basedOn w:val="DefaultParagraphFont"/>
    <w:link w:val="ECHRPara"/>
    <w:uiPriority w:val="12"/>
    <w:rsid w:val="00D25850"/>
    <w:rPr>
      <w:rFonts w:eastAsiaTheme="minorEastAsia"/>
      <w:sz w:val="24"/>
    </w:rPr>
  </w:style>
  <w:style w:type="paragraph" w:customStyle="1" w:styleId="JuCourt">
    <w:name w:val="Ju_Court"/>
    <w:basedOn w:val="Normal"/>
    <w:next w:val="Normal"/>
    <w:uiPriority w:val="16"/>
    <w:qFormat/>
    <w:rsid w:val="00EA4DEF"/>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EA4DEF"/>
    <w:pPr>
      <w:spacing w:before="240"/>
      <w:ind w:left="284"/>
    </w:pPr>
  </w:style>
  <w:style w:type="paragraph" w:customStyle="1" w:styleId="OpiH1">
    <w:name w:val="Opi_H_1"/>
    <w:basedOn w:val="ECHRHeading2"/>
    <w:uiPriority w:val="42"/>
    <w:qFormat/>
    <w:rsid w:val="00EA4DEF"/>
    <w:pPr>
      <w:ind w:left="635" w:hanging="357"/>
      <w:outlineLvl w:val="2"/>
    </w:pPr>
  </w:style>
  <w:style w:type="paragraph" w:customStyle="1" w:styleId="OpiHa0">
    <w:name w:val="Opi_H_a"/>
    <w:basedOn w:val="ECHRHeading3"/>
    <w:uiPriority w:val="43"/>
    <w:qFormat/>
    <w:rsid w:val="00EA4DEF"/>
    <w:pPr>
      <w:ind w:left="833" w:hanging="357"/>
      <w:outlineLvl w:val="3"/>
    </w:pPr>
    <w:rPr>
      <w:b/>
      <w:i w:val="0"/>
      <w:sz w:val="20"/>
    </w:rPr>
  </w:style>
  <w:style w:type="paragraph" w:customStyle="1" w:styleId="OpiHi">
    <w:name w:val="Opi_H_i"/>
    <w:basedOn w:val="ECHRHeading4"/>
    <w:uiPriority w:val="44"/>
    <w:qFormat/>
    <w:rsid w:val="00EA4DEF"/>
    <w:pPr>
      <w:ind w:left="1037" w:hanging="357"/>
      <w:outlineLvl w:val="4"/>
    </w:pPr>
    <w:rPr>
      <w:b w:val="0"/>
      <w:i/>
    </w:rPr>
  </w:style>
  <w:style w:type="paragraph" w:customStyle="1" w:styleId="DummyStyle">
    <w:name w:val="Dummy_Style"/>
    <w:basedOn w:val="Normal"/>
    <w:semiHidden/>
    <w:qFormat/>
    <w:rsid w:val="00EA4DEF"/>
    <w:rPr>
      <w:color w:val="00B050"/>
    </w:rPr>
  </w:style>
  <w:style w:type="paragraph" w:customStyle="1" w:styleId="jupara">
    <w:name w:val="jupara"/>
    <w:basedOn w:val="Normal"/>
    <w:rsid w:val="005A6B8A"/>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5A6B8A"/>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37472">
      <w:bodyDiv w:val="1"/>
      <w:marLeft w:val="0"/>
      <w:marRight w:val="0"/>
      <w:marTop w:val="0"/>
      <w:marBottom w:val="0"/>
      <w:divBdr>
        <w:top w:val="none" w:sz="0" w:space="0" w:color="auto"/>
        <w:left w:val="none" w:sz="0" w:space="0" w:color="auto"/>
        <w:bottom w:val="none" w:sz="0" w:space="0" w:color="auto"/>
        <w:right w:val="none" w:sz="0" w:space="0" w:color="auto"/>
      </w:divBdr>
    </w:div>
    <w:div w:id="1329292125">
      <w:bodyDiv w:val="1"/>
      <w:marLeft w:val="0"/>
      <w:marRight w:val="0"/>
      <w:marTop w:val="0"/>
      <w:marBottom w:val="0"/>
      <w:divBdr>
        <w:top w:val="none" w:sz="0" w:space="0" w:color="auto"/>
        <w:left w:val="none" w:sz="0" w:space="0" w:color="auto"/>
        <w:bottom w:val="none" w:sz="0" w:space="0" w:color="auto"/>
        <w:right w:val="none" w:sz="0" w:space="0" w:color="auto"/>
      </w:divBdr>
      <w:divsChild>
        <w:div w:id="494421806">
          <w:marLeft w:val="0"/>
          <w:marRight w:val="0"/>
          <w:marTop w:val="0"/>
          <w:marBottom w:val="0"/>
          <w:divBdr>
            <w:top w:val="none" w:sz="0" w:space="0" w:color="auto"/>
            <w:left w:val="none" w:sz="0" w:space="0" w:color="auto"/>
            <w:bottom w:val="none" w:sz="0" w:space="0" w:color="auto"/>
            <w:right w:val="none" w:sz="0" w:space="0" w:color="auto"/>
          </w:divBdr>
          <w:divsChild>
            <w:div w:id="753673790">
              <w:marLeft w:val="0"/>
              <w:marRight w:val="0"/>
              <w:marTop w:val="0"/>
              <w:marBottom w:val="0"/>
              <w:divBdr>
                <w:top w:val="none" w:sz="0" w:space="0" w:color="auto"/>
                <w:left w:val="none" w:sz="0" w:space="0" w:color="auto"/>
                <w:bottom w:val="none" w:sz="0" w:space="0" w:color="auto"/>
                <w:right w:val="none" w:sz="0" w:space="0" w:color="auto"/>
              </w:divBdr>
              <w:divsChild>
                <w:div w:id="1596356010">
                  <w:marLeft w:val="0"/>
                  <w:marRight w:val="0"/>
                  <w:marTop w:val="0"/>
                  <w:marBottom w:val="0"/>
                  <w:divBdr>
                    <w:top w:val="none" w:sz="0" w:space="0" w:color="auto"/>
                    <w:left w:val="none" w:sz="0" w:space="0" w:color="auto"/>
                    <w:bottom w:val="none" w:sz="0" w:space="0" w:color="auto"/>
                    <w:right w:val="none" w:sz="0" w:space="0" w:color="auto"/>
                  </w:divBdr>
                  <w:divsChild>
                    <w:div w:id="1941520141">
                      <w:marLeft w:val="0"/>
                      <w:marRight w:val="0"/>
                      <w:marTop w:val="0"/>
                      <w:marBottom w:val="0"/>
                      <w:divBdr>
                        <w:top w:val="none" w:sz="0" w:space="0" w:color="auto"/>
                        <w:left w:val="none" w:sz="0" w:space="0" w:color="auto"/>
                        <w:bottom w:val="none" w:sz="0" w:space="0" w:color="auto"/>
                        <w:right w:val="none" w:sz="0" w:space="0" w:color="auto"/>
                      </w:divBdr>
                      <w:divsChild>
                        <w:div w:id="1961574154">
                          <w:marLeft w:val="0"/>
                          <w:marRight w:val="0"/>
                          <w:marTop w:val="0"/>
                          <w:marBottom w:val="0"/>
                          <w:divBdr>
                            <w:top w:val="none" w:sz="0" w:space="0" w:color="auto"/>
                            <w:left w:val="none" w:sz="0" w:space="0" w:color="auto"/>
                            <w:bottom w:val="none" w:sz="0" w:space="0" w:color="auto"/>
                            <w:right w:val="none" w:sz="0" w:space="0" w:color="auto"/>
                          </w:divBdr>
                          <w:divsChild>
                            <w:div w:id="133761014">
                              <w:marLeft w:val="0"/>
                              <w:marRight w:val="0"/>
                              <w:marTop w:val="0"/>
                              <w:marBottom w:val="0"/>
                              <w:divBdr>
                                <w:top w:val="none" w:sz="0" w:space="0" w:color="auto"/>
                                <w:left w:val="none" w:sz="0" w:space="0" w:color="auto"/>
                                <w:bottom w:val="none" w:sz="0" w:space="0" w:color="auto"/>
                                <w:right w:val="none" w:sz="0" w:space="0" w:color="auto"/>
                              </w:divBdr>
                              <w:divsChild>
                                <w:div w:id="705834226">
                                  <w:marLeft w:val="0"/>
                                  <w:marRight w:val="0"/>
                                  <w:marTop w:val="0"/>
                                  <w:marBottom w:val="0"/>
                                  <w:divBdr>
                                    <w:top w:val="none" w:sz="0" w:space="0" w:color="auto"/>
                                    <w:left w:val="none" w:sz="0" w:space="0" w:color="auto"/>
                                    <w:bottom w:val="none" w:sz="0" w:space="0" w:color="auto"/>
                                    <w:right w:val="none" w:sz="0" w:space="0" w:color="auto"/>
                                  </w:divBdr>
                                </w:div>
                                <w:div w:id="1491865834">
                                  <w:marLeft w:val="0"/>
                                  <w:marRight w:val="0"/>
                                  <w:marTop w:val="0"/>
                                  <w:marBottom w:val="0"/>
                                  <w:divBdr>
                                    <w:top w:val="none" w:sz="0" w:space="0" w:color="auto"/>
                                    <w:left w:val="none" w:sz="0" w:space="0" w:color="auto"/>
                                    <w:bottom w:val="none" w:sz="0" w:space="0" w:color="auto"/>
                                    <w:right w:val="none" w:sz="0" w:space="0" w:color="auto"/>
                                  </w:divBdr>
                                </w:div>
                                <w:div w:id="18063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09586087">
      <w:bodyDiv w:val="1"/>
      <w:marLeft w:val="0"/>
      <w:marRight w:val="0"/>
      <w:marTop w:val="0"/>
      <w:marBottom w:val="0"/>
      <w:divBdr>
        <w:top w:val="none" w:sz="0" w:space="0" w:color="auto"/>
        <w:left w:val="none" w:sz="0" w:space="0" w:color="auto"/>
        <w:bottom w:val="none" w:sz="0" w:space="0" w:color="auto"/>
        <w:right w:val="none" w:sz="0" w:space="0" w:color="auto"/>
      </w:divBdr>
      <w:divsChild>
        <w:div w:id="885876786">
          <w:marLeft w:val="0"/>
          <w:marRight w:val="0"/>
          <w:marTop w:val="0"/>
          <w:marBottom w:val="0"/>
          <w:divBdr>
            <w:top w:val="none" w:sz="0" w:space="0" w:color="auto"/>
            <w:left w:val="none" w:sz="0" w:space="0" w:color="auto"/>
            <w:bottom w:val="none" w:sz="0" w:space="0" w:color="auto"/>
            <w:right w:val="none" w:sz="0" w:space="0" w:color="auto"/>
          </w:divBdr>
          <w:divsChild>
            <w:div w:id="986856487">
              <w:marLeft w:val="0"/>
              <w:marRight w:val="0"/>
              <w:marTop w:val="0"/>
              <w:marBottom w:val="0"/>
              <w:divBdr>
                <w:top w:val="none" w:sz="0" w:space="0" w:color="auto"/>
                <w:left w:val="none" w:sz="0" w:space="0" w:color="auto"/>
                <w:bottom w:val="none" w:sz="0" w:space="0" w:color="auto"/>
                <w:right w:val="none" w:sz="0" w:space="0" w:color="auto"/>
              </w:divBdr>
              <w:divsChild>
                <w:div w:id="610673184">
                  <w:marLeft w:val="0"/>
                  <w:marRight w:val="0"/>
                  <w:marTop w:val="0"/>
                  <w:marBottom w:val="0"/>
                  <w:divBdr>
                    <w:top w:val="none" w:sz="0" w:space="0" w:color="auto"/>
                    <w:left w:val="none" w:sz="0" w:space="0" w:color="auto"/>
                    <w:bottom w:val="none" w:sz="0" w:space="0" w:color="auto"/>
                    <w:right w:val="none" w:sz="0" w:space="0" w:color="auto"/>
                  </w:divBdr>
                  <w:divsChild>
                    <w:div w:id="1128626045">
                      <w:marLeft w:val="0"/>
                      <w:marRight w:val="0"/>
                      <w:marTop w:val="0"/>
                      <w:marBottom w:val="0"/>
                      <w:divBdr>
                        <w:top w:val="none" w:sz="0" w:space="0" w:color="auto"/>
                        <w:left w:val="none" w:sz="0" w:space="0" w:color="auto"/>
                        <w:bottom w:val="none" w:sz="0" w:space="0" w:color="auto"/>
                        <w:right w:val="none" w:sz="0" w:space="0" w:color="auto"/>
                      </w:divBdr>
                      <w:divsChild>
                        <w:div w:id="1087505393">
                          <w:marLeft w:val="0"/>
                          <w:marRight w:val="0"/>
                          <w:marTop w:val="0"/>
                          <w:marBottom w:val="0"/>
                          <w:divBdr>
                            <w:top w:val="none" w:sz="0" w:space="0" w:color="auto"/>
                            <w:left w:val="none" w:sz="0" w:space="0" w:color="auto"/>
                            <w:bottom w:val="none" w:sz="0" w:space="0" w:color="auto"/>
                            <w:right w:val="none" w:sz="0" w:space="0" w:color="auto"/>
                          </w:divBdr>
                          <w:divsChild>
                            <w:div w:id="637147186">
                              <w:marLeft w:val="0"/>
                              <w:marRight w:val="0"/>
                              <w:marTop w:val="0"/>
                              <w:marBottom w:val="0"/>
                              <w:divBdr>
                                <w:top w:val="none" w:sz="0" w:space="0" w:color="auto"/>
                                <w:left w:val="none" w:sz="0" w:space="0" w:color="auto"/>
                                <w:bottom w:val="none" w:sz="0" w:space="0" w:color="auto"/>
                                <w:right w:val="none" w:sz="0" w:space="0" w:color="auto"/>
                              </w:divBdr>
                              <w:divsChild>
                                <w:div w:id="1011370545">
                                  <w:marLeft w:val="0"/>
                                  <w:marRight w:val="0"/>
                                  <w:marTop w:val="0"/>
                                  <w:marBottom w:val="0"/>
                                  <w:divBdr>
                                    <w:top w:val="none" w:sz="0" w:space="0" w:color="auto"/>
                                    <w:left w:val="none" w:sz="0" w:space="0" w:color="auto"/>
                                    <w:bottom w:val="none" w:sz="0" w:space="0" w:color="auto"/>
                                    <w:right w:val="none" w:sz="0" w:space="0" w:color="auto"/>
                                  </w:divBdr>
                                </w:div>
                                <w:div w:id="1365445425">
                                  <w:marLeft w:val="0"/>
                                  <w:marRight w:val="0"/>
                                  <w:marTop w:val="0"/>
                                  <w:marBottom w:val="0"/>
                                  <w:divBdr>
                                    <w:top w:val="none" w:sz="0" w:space="0" w:color="auto"/>
                                    <w:left w:val="none" w:sz="0" w:space="0" w:color="auto"/>
                                    <w:bottom w:val="none" w:sz="0" w:space="0" w:color="auto"/>
                                    <w:right w:val="none" w:sz="0" w:space="0" w:color="auto"/>
                                  </w:divBdr>
                                </w:div>
                                <w:div w:id="16129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02278">
      <w:bodyDiv w:val="1"/>
      <w:marLeft w:val="0"/>
      <w:marRight w:val="0"/>
      <w:marTop w:val="0"/>
      <w:marBottom w:val="0"/>
      <w:divBdr>
        <w:top w:val="none" w:sz="0" w:space="0" w:color="auto"/>
        <w:left w:val="none" w:sz="0" w:space="0" w:color="auto"/>
        <w:bottom w:val="none" w:sz="0" w:space="0" w:color="auto"/>
        <w:right w:val="none" w:sz="0" w:space="0" w:color="auto"/>
      </w:divBdr>
      <w:divsChild>
        <w:div w:id="503397410">
          <w:marLeft w:val="0"/>
          <w:marRight w:val="0"/>
          <w:marTop w:val="0"/>
          <w:marBottom w:val="0"/>
          <w:divBdr>
            <w:top w:val="none" w:sz="0" w:space="0" w:color="auto"/>
            <w:left w:val="none" w:sz="0" w:space="0" w:color="auto"/>
            <w:bottom w:val="none" w:sz="0" w:space="0" w:color="auto"/>
            <w:right w:val="none" w:sz="0" w:space="0" w:color="auto"/>
          </w:divBdr>
          <w:divsChild>
            <w:div w:id="169219291">
              <w:marLeft w:val="0"/>
              <w:marRight w:val="0"/>
              <w:marTop w:val="0"/>
              <w:marBottom w:val="0"/>
              <w:divBdr>
                <w:top w:val="none" w:sz="0" w:space="0" w:color="auto"/>
                <w:left w:val="none" w:sz="0" w:space="0" w:color="auto"/>
                <w:bottom w:val="none" w:sz="0" w:space="0" w:color="auto"/>
                <w:right w:val="none" w:sz="0" w:space="0" w:color="auto"/>
              </w:divBdr>
              <w:divsChild>
                <w:div w:id="1250041141">
                  <w:marLeft w:val="0"/>
                  <w:marRight w:val="0"/>
                  <w:marTop w:val="0"/>
                  <w:marBottom w:val="0"/>
                  <w:divBdr>
                    <w:top w:val="none" w:sz="0" w:space="0" w:color="auto"/>
                    <w:left w:val="none" w:sz="0" w:space="0" w:color="auto"/>
                    <w:bottom w:val="none" w:sz="0" w:space="0" w:color="auto"/>
                    <w:right w:val="none" w:sz="0" w:space="0" w:color="auto"/>
                  </w:divBdr>
                  <w:divsChild>
                    <w:div w:id="91318845">
                      <w:marLeft w:val="0"/>
                      <w:marRight w:val="0"/>
                      <w:marTop w:val="0"/>
                      <w:marBottom w:val="0"/>
                      <w:divBdr>
                        <w:top w:val="none" w:sz="0" w:space="0" w:color="auto"/>
                        <w:left w:val="none" w:sz="0" w:space="0" w:color="auto"/>
                        <w:bottom w:val="none" w:sz="0" w:space="0" w:color="auto"/>
                        <w:right w:val="none" w:sz="0" w:space="0" w:color="auto"/>
                      </w:divBdr>
                      <w:divsChild>
                        <w:div w:id="303513891">
                          <w:marLeft w:val="0"/>
                          <w:marRight w:val="0"/>
                          <w:marTop w:val="0"/>
                          <w:marBottom w:val="0"/>
                          <w:divBdr>
                            <w:top w:val="none" w:sz="0" w:space="0" w:color="auto"/>
                            <w:left w:val="none" w:sz="0" w:space="0" w:color="auto"/>
                            <w:bottom w:val="none" w:sz="0" w:space="0" w:color="auto"/>
                            <w:right w:val="none" w:sz="0" w:space="0" w:color="auto"/>
                          </w:divBdr>
                          <w:divsChild>
                            <w:div w:id="1478449168">
                              <w:marLeft w:val="0"/>
                              <w:marRight w:val="0"/>
                              <w:marTop w:val="0"/>
                              <w:marBottom w:val="0"/>
                              <w:divBdr>
                                <w:top w:val="none" w:sz="0" w:space="0" w:color="auto"/>
                                <w:left w:val="none" w:sz="0" w:space="0" w:color="auto"/>
                                <w:bottom w:val="none" w:sz="0" w:space="0" w:color="auto"/>
                                <w:right w:val="none" w:sz="0" w:space="0" w:color="auto"/>
                              </w:divBdr>
                              <w:divsChild>
                                <w:div w:id="16209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533406">
      <w:bodyDiv w:val="1"/>
      <w:marLeft w:val="0"/>
      <w:marRight w:val="0"/>
      <w:marTop w:val="0"/>
      <w:marBottom w:val="0"/>
      <w:divBdr>
        <w:top w:val="none" w:sz="0" w:space="0" w:color="auto"/>
        <w:left w:val="none" w:sz="0" w:space="0" w:color="auto"/>
        <w:bottom w:val="none" w:sz="0" w:space="0" w:color="auto"/>
        <w:right w:val="none" w:sz="0" w:space="0" w:color="auto"/>
      </w:divBdr>
      <w:divsChild>
        <w:div w:id="1710494394">
          <w:marLeft w:val="0"/>
          <w:marRight w:val="0"/>
          <w:marTop w:val="0"/>
          <w:marBottom w:val="0"/>
          <w:divBdr>
            <w:top w:val="none" w:sz="0" w:space="0" w:color="auto"/>
            <w:left w:val="none" w:sz="0" w:space="0" w:color="auto"/>
            <w:bottom w:val="none" w:sz="0" w:space="0" w:color="auto"/>
            <w:right w:val="none" w:sz="0" w:space="0" w:color="auto"/>
          </w:divBdr>
          <w:divsChild>
            <w:div w:id="717051172">
              <w:marLeft w:val="0"/>
              <w:marRight w:val="0"/>
              <w:marTop w:val="0"/>
              <w:marBottom w:val="0"/>
              <w:divBdr>
                <w:top w:val="none" w:sz="0" w:space="0" w:color="auto"/>
                <w:left w:val="none" w:sz="0" w:space="0" w:color="auto"/>
                <w:bottom w:val="none" w:sz="0" w:space="0" w:color="auto"/>
                <w:right w:val="none" w:sz="0" w:space="0" w:color="auto"/>
              </w:divBdr>
              <w:divsChild>
                <w:div w:id="315302378">
                  <w:marLeft w:val="0"/>
                  <w:marRight w:val="0"/>
                  <w:marTop w:val="0"/>
                  <w:marBottom w:val="0"/>
                  <w:divBdr>
                    <w:top w:val="none" w:sz="0" w:space="0" w:color="auto"/>
                    <w:left w:val="none" w:sz="0" w:space="0" w:color="auto"/>
                    <w:bottom w:val="none" w:sz="0" w:space="0" w:color="auto"/>
                    <w:right w:val="none" w:sz="0" w:space="0" w:color="auto"/>
                  </w:divBdr>
                  <w:divsChild>
                    <w:div w:id="1433277095">
                      <w:marLeft w:val="0"/>
                      <w:marRight w:val="0"/>
                      <w:marTop w:val="0"/>
                      <w:marBottom w:val="0"/>
                      <w:divBdr>
                        <w:top w:val="none" w:sz="0" w:space="0" w:color="auto"/>
                        <w:left w:val="none" w:sz="0" w:space="0" w:color="auto"/>
                        <w:bottom w:val="none" w:sz="0" w:space="0" w:color="auto"/>
                        <w:right w:val="none" w:sz="0" w:space="0" w:color="auto"/>
                      </w:divBdr>
                      <w:divsChild>
                        <w:div w:id="1125391671">
                          <w:marLeft w:val="0"/>
                          <w:marRight w:val="0"/>
                          <w:marTop w:val="0"/>
                          <w:marBottom w:val="0"/>
                          <w:divBdr>
                            <w:top w:val="none" w:sz="0" w:space="0" w:color="auto"/>
                            <w:left w:val="none" w:sz="0" w:space="0" w:color="auto"/>
                            <w:bottom w:val="none" w:sz="0" w:space="0" w:color="auto"/>
                            <w:right w:val="none" w:sz="0" w:space="0" w:color="auto"/>
                          </w:divBdr>
                          <w:divsChild>
                            <w:div w:id="10282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1554A-494C-4580-AB64-B3C14DA014B4}"/>
</file>

<file path=customXml/itemProps2.xml><?xml version="1.0" encoding="utf-8"?>
<ds:datastoreItem xmlns:ds="http://schemas.openxmlformats.org/officeDocument/2006/customXml" ds:itemID="{2028BF39-32E8-4230-8426-F794C88094E4}"/>
</file>

<file path=customXml/itemProps3.xml><?xml version="1.0" encoding="utf-8"?>
<ds:datastoreItem xmlns:ds="http://schemas.openxmlformats.org/officeDocument/2006/customXml" ds:itemID="{3E69ADDD-E55C-4C38-8B7F-E330B40E6177}"/>
</file>

<file path=customXml/itemProps4.xml><?xml version="1.0" encoding="utf-8"?>
<ds:datastoreItem xmlns:ds="http://schemas.openxmlformats.org/officeDocument/2006/customXml" ds:itemID="{5B3A0066-D5B4-48A5-A0FB-E5FFB77B9CCE}"/>
</file>

<file path=docProps/app.xml><?xml version="1.0" encoding="utf-8"?>
<Properties xmlns="http://schemas.openxmlformats.org/officeDocument/2006/extended-properties" xmlns:vt="http://schemas.openxmlformats.org/officeDocument/2006/docPropsVTypes">
  <Template>Normal.dotm</Template>
  <TotalTime>0</TotalTime>
  <Pages>1</Pages>
  <Words>10479</Words>
  <Characters>59734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dc:description/>
  <cp:lastModifiedBy/>
  <cp:revision>1</cp:revision>
  <dcterms:created xsi:type="dcterms:W3CDTF">2015-06-01T09:39:00Z</dcterms:created>
  <dcterms:modified xsi:type="dcterms:W3CDTF">2015-06-01T09:39:00Z</dcterms:modified>
  <cp:category>ECHR Template</cp:category>
</cp:coreProperties>
</file>